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303"/>
        <w:gridCol w:w="1250"/>
        <w:gridCol w:w="6"/>
        <w:gridCol w:w="567"/>
        <w:gridCol w:w="1242"/>
        <w:gridCol w:w="176"/>
        <w:gridCol w:w="519"/>
        <w:gridCol w:w="70"/>
        <w:gridCol w:w="261"/>
        <w:gridCol w:w="479"/>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bookmarkStart w:id="0" w:name="组织名称"/>
            <w:r>
              <w:rPr>
                <w:sz w:val="21"/>
                <w:szCs w:val="21"/>
              </w:rPr>
              <w:t>武汉鑫祥旺实业有限责任公司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武汉市新洲区阳逻街界阜村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85" w:type="dxa"/>
            <w:gridSpan w:val="3"/>
            <w:vAlign w:val="center"/>
          </w:tcPr>
          <w:p>
            <w:pPr>
              <w:rPr>
                <w:sz w:val="21"/>
                <w:szCs w:val="21"/>
              </w:rPr>
            </w:pPr>
            <w:r>
              <w:rPr>
                <w:rFonts w:hint="eastAsia"/>
                <w:sz w:val="21"/>
                <w:szCs w:val="21"/>
              </w:rPr>
              <w:t>联系人</w:t>
            </w:r>
          </w:p>
        </w:tc>
        <w:tc>
          <w:tcPr>
            <w:tcW w:w="2996" w:type="dxa"/>
            <w:gridSpan w:val="5"/>
            <w:vAlign w:val="center"/>
          </w:tcPr>
          <w:p>
            <w:pPr>
              <w:rPr>
                <w:sz w:val="21"/>
                <w:szCs w:val="21"/>
              </w:rPr>
            </w:pPr>
            <w:bookmarkStart w:id="2" w:name="联系人"/>
            <w:r>
              <w:rPr>
                <w:sz w:val="21"/>
                <w:szCs w:val="21"/>
              </w:rPr>
              <w:t>邱汉</w:t>
            </w:r>
            <w:bookmarkEnd w:id="2"/>
          </w:p>
        </w:tc>
        <w:tc>
          <w:tcPr>
            <w:tcW w:w="1250"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13477017656</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430400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85" w:type="dxa"/>
            <w:gridSpan w:val="3"/>
            <w:vAlign w:val="center"/>
          </w:tcPr>
          <w:p>
            <w:r>
              <w:rPr>
                <w:rFonts w:hint="eastAsia"/>
              </w:rPr>
              <w:t>最高管理者</w:t>
            </w:r>
          </w:p>
        </w:tc>
        <w:tc>
          <w:tcPr>
            <w:tcW w:w="2996" w:type="dxa"/>
            <w:gridSpan w:val="5"/>
            <w:vAlign w:val="center"/>
          </w:tcPr>
          <w:p>
            <w:bookmarkStart w:id="5" w:name="最高管理者"/>
            <w:bookmarkEnd w:id="5"/>
          </w:p>
        </w:tc>
        <w:tc>
          <w:tcPr>
            <w:tcW w:w="1250"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85" w:type="dxa"/>
            <w:gridSpan w:val="3"/>
            <w:vAlign w:val="center"/>
          </w:tcPr>
          <w:p>
            <w:pPr>
              <w:rPr>
                <w:sz w:val="20"/>
              </w:rPr>
            </w:pPr>
            <w:r>
              <w:rPr>
                <w:rFonts w:hint="eastAsia"/>
                <w:b/>
                <w:sz w:val="20"/>
              </w:rPr>
              <w:t>合同编号</w:t>
            </w:r>
            <w:r>
              <w:rPr>
                <w:rFonts w:hint="eastAsia"/>
                <w:sz w:val="20"/>
              </w:rPr>
              <w:t>.</w:t>
            </w:r>
          </w:p>
        </w:tc>
        <w:tc>
          <w:tcPr>
            <w:tcW w:w="2996" w:type="dxa"/>
            <w:gridSpan w:val="5"/>
            <w:vAlign w:val="center"/>
          </w:tcPr>
          <w:p>
            <w:pPr>
              <w:rPr>
                <w:sz w:val="20"/>
              </w:rPr>
            </w:pPr>
            <w:bookmarkStart w:id="8" w:name="合同编号"/>
            <w:r>
              <w:rPr>
                <w:sz w:val="20"/>
              </w:rPr>
              <w:t>0595-2020-QEO</w:t>
            </w:r>
            <w:bookmarkEnd w:id="8"/>
          </w:p>
        </w:tc>
        <w:tc>
          <w:tcPr>
            <w:tcW w:w="1256" w:type="dxa"/>
            <w:gridSpan w:val="2"/>
            <w:vAlign w:val="center"/>
          </w:tcPr>
          <w:p>
            <w:pPr>
              <w:rPr>
                <w:sz w:val="20"/>
              </w:rPr>
            </w:pPr>
            <w:r>
              <w:rPr>
                <w:rFonts w:hint="eastAsia"/>
                <w:b/>
                <w:sz w:val="20"/>
              </w:rPr>
              <w:t>审核领域</w:t>
            </w:r>
          </w:p>
        </w:tc>
        <w:tc>
          <w:tcPr>
            <w:tcW w:w="4584"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485" w:type="dxa"/>
            <w:gridSpan w:val="3"/>
            <w:vAlign w:val="center"/>
          </w:tcPr>
          <w:p>
            <w:pPr>
              <w:rPr>
                <w:sz w:val="20"/>
              </w:rPr>
            </w:pPr>
            <w:r>
              <w:rPr>
                <w:rFonts w:hint="eastAsia"/>
                <w:sz w:val="20"/>
              </w:rPr>
              <w:t>审核范围</w:t>
            </w:r>
          </w:p>
        </w:tc>
        <w:tc>
          <w:tcPr>
            <w:tcW w:w="6756" w:type="dxa"/>
            <w:gridSpan w:val="11"/>
            <w:vAlign w:val="center"/>
          </w:tcPr>
          <w:p>
            <w:pPr>
              <w:rPr>
                <w:sz w:val="20"/>
              </w:rPr>
            </w:pPr>
            <w:bookmarkStart w:id="13" w:name="审核范围"/>
            <w:r>
              <w:rPr>
                <w:sz w:val="20"/>
              </w:rPr>
              <w:t>Q：蒸压加气混凝土砌块的生产及销售</w:t>
            </w:r>
          </w:p>
          <w:p>
            <w:pPr>
              <w:rPr>
                <w:sz w:val="20"/>
              </w:rPr>
            </w:pPr>
            <w:r>
              <w:rPr>
                <w:sz w:val="20"/>
              </w:rPr>
              <w:t>E：蒸压加气混凝土砌块的生产及销售所涉及的相关环境管理活动</w:t>
            </w:r>
          </w:p>
          <w:p>
            <w:pPr>
              <w:rPr>
                <w:sz w:val="20"/>
              </w:rPr>
            </w:pPr>
            <w:r>
              <w:rPr>
                <w:sz w:val="20"/>
              </w:rPr>
              <w:t>O：蒸压加气混凝土砌块的生产及销售所涉及的相关职业健康安全管理活动</w:t>
            </w:r>
            <w:bookmarkEnd w:id="13"/>
          </w:p>
        </w:tc>
        <w:tc>
          <w:tcPr>
            <w:tcW w:w="33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Q：16.02.01</w:t>
            </w:r>
          </w:p>
          <w:p>
            <w:pPr>
              <w:rPr>
                <w:sz w:val="20"/>
              </w:rPr>
            </w:pPr>
            <w:r>
              <w:rPr>
                <w:sz w:val="20"/>
              </w:rPr>
              <w:t>E：16.02.01</w:t>
            </w:r>
          </w:p>
          <w:p>
            <w:pPr>
              <w:rPr>
                <w:sz w:val="20"/>
              </w:rPr>
            </w:pPr>
            <w:r>
              <w:rPr>
                <w:sz w:val="20"/>
              </w:rPr>
              <w:t>O：16.02.01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w:t>
            </w:r>
            <w:r>
              <w:rPr>
                <w:rFonts w:hint="eastAsia"/>
                <w:b/>
                <w:sz w:val="20"/>
                <w:lang w:val="en-US" w:eastAsia="zh-CN"/>
              </w:rPr>
              <w:t>+远程</w:t>
            </w:r>
            <w:r>
              <w:rPr>
                <w:rFonts w:hint="eastAsia"/>
                <w:b/>
                <w:sz w:val="20"/>
              </w:rPr>
              <w:t>审核于</w:t>
            </w:r>
            <w:bookmarkStart w:id="16" w:name="审核日期安排"/>
            <w:r>
              <w:rPr>
                <w:rFonts w:hint="eastAsia"/>
                <w:b/>
                <w:sz w:val="20"/>
              </w:rPr>
              <w:t>2021年01月12日 下午至2021年01月14日 下午 (共2.5天)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396" w:type="dxa"/>
            <w:gridSpan w:val="2"/>
            <w:vAlign w:val="center"/>
          </w:tcPr>
          <w:p>
            <w:pPr>
              <w:jc w:val="center"/>
              <w:rPr>
                <w:sz w:val="20"/>
              </w:rPr>
            </w:pPr>
            <w:r>
              <w:rPr>
                <w:rFonts w:hint="eastAsia"/>
                <w:sz w:val="20"/>
              </w:rPr>
              <w:t>注册资格</w:t>
            </w:r>
          </w:p>
        </w:tc>
        <w:tc>
          <w:tcPr>
            <w:tcW w:w="3065" w:type="dxa"/>
            <w:gridSpan w:val="4"/>
            <w:vAlign w:val="center"/>
          </w:tcPr>
          <w:p>
            <w:pPr>
              <w:jc w:val="center"/>
              <w:rPr>
                <w:sz w:val="20"/>
              </w:rPr>
            </w:pPr>
            <w:r>
              <w:rPr>
                <w:rFonts w:hint="eastAsia"/>
                <w:sz w:val="20"/>
              </w:rPr>
              <w:t>专业代码</w:t>
            </w:r>
          </w:p>
        </w:tc>
        <w:tc>
          <w:tcPr>
            <w:tcW w:w="1505" w:type="dxa"/>
            <w:gridSpan w:val="5"/>
            <w:vAlign w:val="center"/>
          </w:tcPr>
          <w:p>
            <w:pPr>
              <w:jc w:val="center"/>
              <w:rPr>
                <w:sz w:val="20"/>
              </w:rPr>
            </w:pPr>
            <w:r>
              <w:rPr>
                <w:rFonts w:hint="eastAsia"/>
                <w:sz w:val="20"/>
              </w:rPr>
              <w:t>联系电话</w:t>
            </w:r>
          </w:p>
        </w:tc>
        <w:tc>
          <w:tcPr>
            <w:tcW w:w="1270"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伍光华</w:t>
            </w:r>
            <w:r>
              <w:rPr>
                <w:rFonts w:hint="eastAsia"/>
                <w:sz w:val="20"/>
                <w:lang w:val="en-US" w:eastAsia="zh-CN"/>
              </w:rPr>
              <w:t>A</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39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65" w:type="dxa"/>
            <w:gridSpan w:val="4"/>
            <w:vAlign w:val="center"/>
          </w:tcPr>
          <w:p>
            <w:pPr>
              <w:jc w:val="center"/>
              <w:rPr>
                <w:sz w:val="20"/>
              </w:rPr>
            </w:pPr>
            <w:r>
              <w:rPr>
                <w:sz w:val="20"/>
              </w:rPr>
              <w:t>Q:16.02.01</w:t>
            </w:r>
          </w:p>
          <w:p>
            <w:pPr>
              <w:jc w:val="center"/>
              <w:rPr>
                <w:sz w:val="20"/>
              </w:rPr>
            </w:pPr>
            <w:r>
              <w:rPr>
                <w:sz w:val="20"/>
              </w:rPr>
              <w:t>E:16.02.01</w:t>
            </w:r>
          </w:p>
          <w:p>
            <w:pPr>
              <w:jc w:val="center"/>
              <w:rPr>
                <w:sz w:val="20"/>
              </w:rPr>
            </w:pPr>
            <w:r>
              <w:rPr>
                <w:sz w:val="20"/>
              </w:rPr>
              <w:t>O:16.02.01</w:t>
            </w:r>
          </w:p>
        </w:tc>
        <w:tc>
          <w:tcPr>
            <w:tcW w:w="1505" w:type="dxa"/>
            <w:gridSpan w:val="5"/>
            <w:vAlign w:val="center"/>
          </w:tcPr>
          <w:p>
            <w:pPr>
              <w:jc w:val="center"/>
              <w:rPr>
                <w:sz w:val="20"/>
              </w:rPr>
            </w:pPr>
            <w:r>
              <w:rPr>
                <w:sz w:val="20"/>
              </w:rPr>
              <w:t>13907930788</w:t>
            </w:r>
          </w:p>
        </w:tc>
        <w:tc>
          <w:tcPr>
            <w:tcW w:w="1270"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张磊</w:t>
            </w:r>
            <w:r>
              <w:rPr>
                <w:rFonts w:hint="eastAsia"/>
                <w:sz w:val="20"/>
                <w:lang w:val="en-US" w:eastAsia="zh-CN"/>
              </w:rPr>
              <w:t>B</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39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65" w:type="dxa"/>
            <w:gridSpan w:val="4"/>
            <w:vAlign w:val="center"/>
          </w:tcPr>
          <w:p>
            <w:pPr>
              <w:jc w:val="center"/>
              <w:rPr>
                <w:sz w:val="20"/>
              </w:rPr>
            </w:pPr>
          </w:p>
        </w:tc>
        <w:tc>
          <w:tcPr>
            <w:tcW w:w="1505" w:type="dxa"/>
            <w:gridSpan w:val="5"/>
            <w:vAlign w:val="center"/>
          </w:tcPr>
          <w:p>
            <w:pPr>
              <w:jc w:val="center"/>
              <w:rPr>
                <w:sz w:val="20"/>
              </w:rPr>
            </w:pPr>
            <w:r>
              <w:rPr>
                <w:sz w:val="20"/>
              </w:rPr>
              <w:t>18697572785</w:t>
            </w:r>
          </w:p>
        </w:tc>
        <w:tc>
          <w:tcPr>
            <w:tcW w:w="1270"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王志慧</w:t>
            </w:r>
            <w:r>
              <w:rPr>
                <w:rFonts w:hint="eastAsia"/>
                <w:sz w:val="20"/>
                <w:lang w:val="en-US" w:eastAsia="zh-CN"/>
              </w:rPr>
              <w:t>C</w:t>
            </w:r>
          </w:p>
        </w:tc>
        <w:tc>
          <w:tcPr>
            <w:tcW w:w="1134" w:type="dxa"/>
            <w:gridSpan w:val="2"/>
            <w:vAlign w:val="center"/>
          </w:tcPr>
          <w:p>
            <w:pPr>
              <w:jc w:val="center"/>
              <w:rPr>
                <w:rFonts w:hint="eastAsia" w:eastAsia="宋体"/>
                <w:sz w:val="20"/>
                <w:lang w:eastAsia="zh-CN"/>
              </w:rPr>
            </w:pPr>
            <w:r>
              <w:rPr>
                <w:sz w:val="20"/>
              </w:rPr>
              <w:t>组员</w:t>
            </w:r>
            <w:r>
              <w:rPr>
                <w:rFonts w:hint="eastAsia"/>
                <w:sz w:val="20"/>
                <w:lang w:eastAsia="zh-CN"/>
              </w:rPr>
              <w:t>（</w:t>
            </w:r>
            <w:r>
              <w:rPr>
                <w:rFonts w:hint="eastAsia"/>
                <w:sz w:val="20"/>
                <w:lang w:val="en-US" w:eastAsia="zh-CN"/>
              </w:rPr>
              <w:t>远程</w:t>
            </w:r>
            <w:r>
              <w:rPr>
                <w:rFonts w:hint="eastAsia"/>
                <w:sz w:val="20"/>
                <w:lang w:eastAsia="zh-CN"/>
              </w:rPr>
              <w:t>）</w:t>
            </w:r>
          </w:p>
        </w:tc>
        <w:tc>
          <w:tcPr>
            <w:tcW w:w="709" w:type="dxa"/>
            <w:gridSpan w:val="2"/>
            <w:vAlign w:val="center"/>
          </w:tcPr>
          <w:p>
            <w:pPr>
              <w:jc w:val="center"/>
              <w:rPr>
                <w:sz w:val="20"/>
              </w:rPr>
            </w:pPr>
            <w:r>
              <w:rPr>
                <w:sz w:val="20"/>
              </w:rPr>
              <w:t>女</w:t>
            </w:r>
          </w:p>
        </w:tc>
        <w:tc>
          <w:tcPr>
            <w:tcW w:w="1396"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65" w:type="dxa"/>
            <w:gridSpan w:val="4"/>
            <w:vAlign w:val="center"/>
          </w:tcPr>
          <w:p>
            <w:pPr>
              <w:jc w:val="center"/>
              <w:rPr>
                <w:sz w:val="20"/>
              </w:rPr>
            </w:pPr>
            <w:r>
              <w:rPr>
                <w:sz w:val="20"/>
              </w:rPr>
              <w:t>Q:16.02.01</w:t>
            </w:r>
          </w:p>
          <w:p>
            <w:pPr>
              <w:jc w:val="center"/>
              <w:rPr>
                <w:sz w:val="20"/>
              </w:rPr>
            </w:pPr>
            <w:r>
              <w:rPr>
                <w:sz w:val="20"/>
              </w:rPr>
              <w:t>E:16.02.01</w:t>
            </w:r>
          </w:p>
          <w:p>
            <w:pPr>
              <w:jc w:val="center"/>
              <w:rPr>
                <w:sz w:val="20"/>
              </w:rPr>
            </w:pPr>
            <w:r>
              <w:rPr>
                <w:sz w:val="20"/>
              </w:rPr>
              <w:t>O:16.02.01</w:t>
            </w:r>
          </w:p>
        </w:tc>
        <w:tc>
          <w:tcPr>
            <w:tcW w:w="1505" w:type="dxa"/>
            <w:gridSpan w:val="5"/>
            <w:vAlign w:val="center"/>
          </w:tcPr>
          <w:p>
            <w:pPr>
              <w:jc w:val="center"/>
              <w:rPr>
                <w:sz w:val="20"/>
              </w:rPr>
            </w:pPr>
            <w:r>
              <w:rPr>
                <w:sz w:val="20"/>
              </w:rPr>
              <w:t>13889843463</w:t>
            </w:r>
          </w:p>
        </w:tc>
        <w:tc>
          <w:tcPr>
            <w:tcW w:w="1270" w:type="dxa"/>
            <w:vAlign w:val="center"/>
          </w:tcPr>
          <w:p>
            <w:pPr>
              <w:jc w:val="center"/>
              <w:rPr>
                <w:sz w:val="20"/>
              </w:rPr>
            </w:pPr>
            <w:r>
              <w:rPr>
                <w:sz w:val="20"/>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default" w:eastAsia="宋体"/>
                <w:sz w:val="20"/>
                <w:lang w:val="en-US" w:eastAsia="zh-CN"/>
              </w:rPr>
            </w:pPr>
            <w:r>
              <w:rPr>
                <w:rFonts w:hint="eastAsia"/>
                <w:sz w:val="20"/>
                <w:lang w:val="en-US" w:eastAsia="zh-CN"/>
              </w:rPr>
              <w:t>伍光华</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default" w:eastAsia="宋体"/>
                <w:sz w:val="20"/>
                <w:lang w:val="en-US" w:eastAsia="zh-CN"/>
              </w:rPr>
            </w:pPr>
            <w:r>
              <w:rPr>
                <w:rFonts w:hint="eastAsia"/>
                <w:sz w:val="20"/>
                <w:lang w:val="en-US" w:eastAsia="zh-CN"/>
              </w:rPr>
              <w:t>李永忠</w:t>
            </w:r>
          </w:p>
        </w:tc>
        <w:tc>
          <w:tcPr>
            <w:tcW w:w="1418" w:type="dxa"/>
            <w:gridSpan w:val="2"/>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13907930788</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2"/>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2021.1.11</w:t>
            </w:r>
          </w:p>
        </w:tc>
        <w:tc>
          <w:tcPr>
            <w:tcW w:w="1134" w:type="dxa"/>
            <w:gridSpan w:val="2"/>
            <w:vAlign w:val="center"/>
          </w:tcPr>
          <w:p>
            <w:pPr>
              <w:rPr>
                <w:sz w:val="20"/>
              </w:rPr>
            </w:pPr>
            <w:r>
              <w:rPr>
                <w:rFonts w:hint="eastAsia"/>
                <w:sz w:val="20"/>
              </w:rPr>
              <w:t>日期</w:t>
            </w:r>
          </w:p>
        </w:tc>
        <w:tc>
          <w:tcPr>
            <w:tcW w:w="2126" w:type="dxa"/>
            <w:gridSpan w:val="4"/>
            <w:vAlign w:val="center"/>
          </w:tcPr>
          <w:p>
            <w:pPr>
              <w:rPr>
                <w:rFonts w:hint="default" w:eastAsia="宋体"/>
                <w:sz w:val="20"/>
                <w:lang w:val="en-US" w:eastAsia="zh-CN"/>
              </w:rPr>
            </w:pPr>
            <w:r>
              <w:rPr>
                <w:rFonts w:hint="eastAsia"/>
                <w:sz w:val="20"/>
                <w:lang w:val="en-US" w:eastAsia="zh-CN"/>
              </w:rPr>
              <w:t>2021.1.11</w:t>
            </w:r>
          </w:p>
        </w:tc>
        <w:tc>
          <w:tcPr>
            <w:tcW w:w="1418" w:type="dxa"/>
            <w:gridSpan w:val="2"/>
            <w:vAlign w:val="center"/>
          </w:tcPr>
          <w:p>
            <w:pPr>
              <w:rPr>
                <w:sz w:val="20"/>
              </w:rPr>
            </w:pPr>
            <w:r>
              <w:rPr>
                <w:rFonts w:hint="eastAsia"/>
                <w:sz w:val="20"/>
              </w:rPr>
              <w:t>日期</w:t>
            </w:r>
          </w:p>
        </w:tc>
        <w:tc>
          <w:tcPr>
            <w:tcW w:w="2599" w:type="dxa"/>
            <w:gridSpan w:val="5"/>
            <w:vAlign w:val="center"/>
          </w:tcP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rPr>
        <w:t>现场审核日程安排表</w:t>
      </w:r>
    </w:p>
    <w:p>
      <w:pPr>
        <w:spacing w:line="300" w:lineRule="exact"/>
        <w:rPr>
          <w:rFonts w:ascii="宋体" w:hAnsi="宋体"/>
          <w:b/>
          <w:sz w:val="18"/>
          <w:szCs w:val="18"/>
        </w:rPr>
      </w:pPr>
    </w:p>
    <w:tbl>
      <w:tblPr>
        <w:tblStyle w:val="6"/>
        <w:tblW w:w="10182"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559"/>
        <w:gridCol w:w="981"/>
        <w:gridCol w:w="584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23"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日期</w:t>
            </w:r>
          </w:p>
        </w:tc>
        <w:tc>
          <w:tcPr>
            <w:tcW w:w="1559"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时间</w:t>
            </w:r>
          </w:p>
        </w:tc>
        <w:tc>
          <w:tcPr>
            <w:tcW w:w="98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部门</w:t>
            </w:r>
          </w:p>
        </w:tc>
        <w:tc>
          <w:tcPr>
            <w:tcW w:w="5841"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过程、涉及条款</w:t>
            </w:r>
          </w:p>
        </w:tc>
        <w:tc>
          <w:tcPr>
            <w:tcW w:w="778" w:type="dxa"/>
          </w:tcPr>
          <w:p>
            <w:pPr>
              <w:snapToGrid w:val="0"/>
              <w:spacing w:line="28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3" w:type="dxa"/>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12</w:t>
            </w: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r>
              <w:rPr>
                <w:rFonts w:hint="eastAsia" w:cs="Arial" w:asciiTheme="minorEastAsia" w:hAnsiTheme="minorEastAsia" w:eastAsiaTheme="minorEastAsia"/>
                <w:sz w:val="21"/>
                <w:szCs w:val="21"/>
                <w:lang w:val="en-US" w:eastAsia="zh-CN"/>
              </w:rPr>
              <w:t>14</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jc w:val="left"/>
              <w:rPr>
                <w:rFonts w:cs="Arial" w:asciiTheme="minorEastAsia" w:hAnsiTheme="minorEastAsia" w:eastAsiaTheme="minorEastAsia"/>
                <w:spacing w:val="-6"/>
                <w:sz w:val="21"/>
                <w:szCs w:val="21"/>
              </w:rPr>
            </w:pPr>
            <w:r>
              <w:rPr>
                <w:rFonts w:hint="eastAsia" w:asciiTheme="minorEastAsia" w:hAnsiTheme="minorEastAsia" w:eastAsiaTheme="minorEastAsia"/>
                <w:sz w:val="21"/>
                <w:szCs w:val="21"/>
              </w:rPr>
              <w:t>首次会议</w:t>
            </w:r>
          </w:p>
        </w:tc>
        <w:tc>
          <w:tcPr>
            <w:tcW w:w="778" w:type="dxa"/>
          </w:tcPr>
          <w:p>
            <w:pPr>
              <w:spacing w:line="240" w:lineRule="exact"/>
              <w:jc w:val="center"/>
              <w:rPr>
                <w:rFonts w:hint="default" w:cs="Arial" w:asciiTheme="minorEastAsia" w:hAnsiTheme="minorEastAsia" w:eastAsiaTheme="minorEastAsia"/>
                <w:sz w:val="21"/>
                <w:szCs w:val="21"/>
                <w:lang w:val="en-US"/>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12</w:t>
            </w:r>
          </w:p>
        </w:tc>
        <w:tc>
          <w:tcPr>
            <w:tcW w:w="1559" w:type="dxa"/>
            <w:vMerge w:val="restart"/>
          </w:tcPr>
          <w:p>
            <w:pPr>
              <w:spacing w:line="240" w:lineRule="exact"/>
              <w:rPr>
                <w:rFonts w:hint="eastAsia" w:cs="Arial" w:asciiTheme="minorEastAsia" w:hAnsiTheme="minorEastAsia" w:eastAsiaTheme="minorEastAsia"/>
                <w:sz w:val="21"/>
                <w:szCs w:val="21"/>
              </w:rPr>
            </w:pP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14</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p>
        </w:tc>
        <w:tc>
          <w:tcPr>
            <w:tcW w:w="981" w:type="dxa"/>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管理层、员工代表</w:t>
            </w:r>
          </w:p>
          <w:p>
            <w:pPr>
              <w:spacing w:line="300" w:lineRule="exact"/>
              <w:rPr>
                <w:rFonts w:asciiTheme="minorEastAsia" w:hAnsiTheme="minorEastAsia" w:eastAsiaTheme="minorEastAsia"/>
                <w:bCs/>
                <w:sz w:val="21"/>
                <w:szCs w:val="21"/>
              </w:rPr>
            </w:pPr>
          </w:p>
        </w:tc>
        <w:tc>
          <w:tcPr>
            <w:tcW w:w="5841" w:type="dxa"/>
          </w:tcPr>
          <w:p>
            <w:pPr>
              <w:adjustRightInd w:val="0"/>
              <w:snapToGrid w:val="0"/>
              <w:ind w:right="120" w:rightChars="50"/>
              <w:jc w:val="left"/>
              <w:textAlignment w:val="baseline"/>
              <w:rPr>
                <w:rFonts w:cs="Arial" w:asciiTheme="minorEastAsia" w:hAnsiTheme="minorEastAsia" w:eastAsiaTheme="minorEastAsia"/>
                <w:spacing w:val="-6"/>
                <w:sz w:val="21"/>
                <w:szCs w:val="21"/>
              </w:rPr>
            </w:pPr>
            <w:r>
              <w:rPr>
                <w:rFonts w:hint="eastAsia" w:cs="Arial" w:asciiTheme="minorEastAsia" w:hAnsiTheme="minorEastAsia" w:eastAsiaTheme="minorEastAsia"/>
                <w:spacing w:val="-6"/>
                <w:sz w:val="21"/>
                <w:szCs w:val="21"/>
              </w:rPr>
              <w:t>QEO:4.1理解组织及其环境、4.2理解相关方的需求和期望、4.3 确定管理体系的范围、4.4质量/环境/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安全管理体系及其过程、5.1领导作用和承诺、5.2质量/环境/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安全方针、5.3组织的岗位、职责和权限、O5.4协商与参与、6.1应对风险和机遇的措施、6.2质量/环境/</w:t>
            </w:r>
            <w:r>
              <w:rPr>
                <w:rFonts w:hint="eastAsia" w:cs="Arial" w:asciiTheme="minorEastAsia" w:hAnsiTheme="minorEastAsia" w:eastAsiaTheme="minorEastAsia"/>
                <w:sz w:val="21"/>
                <w:szCs w:val="21"/>
              </w:rPr>
              <w:t>职业健康</w:t>
            </w:r>
            <w:r>
              <w:rPr>
                <w:rFonts w:hint="eastAsia" w:cs="Arial" w:asciiTheme="minorEastAsia" w:hAnsiTheme="minorEastAsia" w:eastAsiaTheme="minorEastAsia"/>
                <w:spacing w:val="-6"/>
                <w:sz w:val="21"/>
                <w:szCs w:val="21"/>
              </w:rPr>
              <w:t>安全目标及其实现的策划、Q6.3变更的策划、7.1.1（EO7.1）资源总则、</w:t>
            </w:r>
            <w:r>
              <w:rPr>
                <w:rFonts w:hint="eastAsia" w:cs="Arial" w:asciiTheme="minorEastAsia" w:hAnsiTheme="minorEastAsia" w:eastAsiaTheme="minorEastAsia"/>
                <w:spacing w:val="-6"/>
                <w:sz w:val="21"/>
                <w:szCs w:val="21"/>
                <w:lang w:val="en-US" w:eastAsia="zh-CN"/>
              </w:rPr>
              <w:t>8.3不适用的确定、</w:t>
            </w:r>
            <w:bookmarkStart w:id="17" w:name="_GoBack"/>
            <w:bookmarkEnd w:id="17"/>
            <w:r>
              <w:rPr>
                <w:rFonts w:hint="eastAsia" w:cs="Arial" w:asciiTheme="minorEastAsia" w:hAnsiTheme="minorEastAsia" w:eastAsiaTheme="minorEastAsia"/>
                <w:spacing w:val="-6"/>
                <w:sz w:val="21"/>
                <w:szCs w:val="21"/>
              </w:rPr>
              <w:t>9.3管理评审、10.1改进、10.3持续改进。</w:t>
            </w:r>
          </w:p>
          <w:p>
            <w:pPr>
              <w:spacing w:line="300" w:lineRule="exact"/>
              <w:rPr>
                <w:rFonts w:asciiTheme="minorEastAsia" w:hAnsiTheme="minorEastAsia" w:eastAsiaTheme="minorEastAsia"/>
                <w:sz w:val="21"/>
                <w:szCs w:val="21"/>
              </w:rPr>
            </w:pPr>
            <w:r>
              <w:rPr>
                <w:rFonts w:hint="eastAsia" w:cs="Arial" w:asciiTheme="minorEastAsia" w:hAnsiTheme="minorEastAsia" w:eastAsiaTheme="minorEastAsia"/>
                <w:spacing w:val="-6"/>
                <w:sz w:val="21"/>
                <w:szCs w:val="21"/>
              </w:rPr>
              <w:t>国家/地方监督抽查情况；顾客满意、相关方投诉及处理情况；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val="en-US" w:eastAsia="zh-CN"/>
              </w:rPr>
              <w:t>一阶段</w:t>
            </w:r>
            <w:r>
              <w:rPr>
                <w:rFonts w:hint="eastAsia" w:asciiTheme="minorEastAsia" w:hAnsiTheme="minorEastAsia" w:eastAsiaTheme="minorEastAsia"/>
                <w:sz w:val="21"/>
                <w:szCs w:val="21"/>
              </w:rPr>
              <w:t>审核不符合项的验证、投诉或事故、监督抽查情况；</w:t>
            </w:r>
            <w:r>
              <w:rPr>
                <w:rFonts w:hint="eastAsia" w:cs="Arial" w:asciiTheme="minorEastAsia" w:hAnsiTheme="minorEastAsia" w:eastAsiaTheme="minorEastAsia"/>
                <w:spacing w:val="-6"/>
                <w:sz w:val="21"/>
                <w:szCs w:val="21"/>
              </w:rPr>
              <w:t>验证企业相关资质证明的有效性；</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 xml:space="preserve"> </w:t>
            </w:r>
            <w:r>
              <w:rPr>
                <w:rFonts w:hint="eastAsia" w:cs="Arial" w:asciiTheme="minorEastAsia" w:hAnsiTheme="minorEastAsia" w:eastAsiaTheme="minor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023" w:type="dxa"/>
            <w:vMerge w:val="continue"/>
          </w:tcPr>
          <w:p>
            <w:pPr>
              <w:spacing w:line="240" w:lineRule="exact"/>
              <w:rPr>
                <w:rFonts w:hint="eastAsia" w:cs="Arial" w:asciiTheme="minorEastAsia" w:hAnsiTheme="minorEastAsia" w:eastAsiaTheme="minorEastAsia"/>
                <w:sz w:val="21"/>
                <w:szCs w:val="21"/>
              </w:rPr>
            </w:pPr>
          </w:p>
        </w:tc>
        <w:tc>
          <w:tcPr>
            <w:tcW w:w="1559" w:type="dxa"/>
            <w:vMerge w:val="continue"/>
          </w:tcPr>
          <w:p>
            <w:pPr>
              <w:spacing w:line="240" w:lineRule="exact"/>
              <w:rPr>
                <w:rFonts w:cs="Arial" w:asciiTheme="minorEastAsia" w:hAnsiTheme="minorEastAsia" w:eastAsiaTheme="minorEastAsia"/>
                <w:sz w:val="21"/>
                <w:szCs w:val="21"/>
              </w:rPr>
            </w:pPr>
          </w:p>
        </w:tc>
        <w:tc>
          <w:tcPr>
            <w:tcW w:w="981" w:type="dxa"/>
          </w:tcPr>
          <w:p>
            <w:pPr>
              <w:spacing w:line="300" w:lineRule="exact"/>
              <w:rPr>
                <w:rFonts w:hint="default"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财务部</w:t>
            </w:r>
          </w:p>
        </w:tc>
        <w:tc>
          <w:tcPr>
            <w:tcW w:w="5841" w:type="dxa"/>
          </w:tcPr>
          <w:p>
            <w:pPr>
              <w:spacing w:line="280" w:lineRule="exact"/>
              <w:rPr>
                <w:rFonts w:hint="eastAsia" w:ascii="宋体" w:hAnsi="宋体" w:cs="Arial"/>
                <w:sz w:val="21"/>
                <w:szCs w:val="21"/>
              </w:rPr>
            </w:pPr>
            <w:r>
              <w:rPr>
                <w:rFonts w:ascii="宋体" w:hAnsi="宋体" w:cs="Arial"/>
                <w:sz w:val="21"/>
                <w:szCs w:val="21"/>
              </w:rPr>
              <w:t>QMS:5.3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质量目标、</w:t>
            </w:r>
          </w:p>
          <w:p>
            <w:pPr>
              <w:spacing w:line="300" w:lineRule="exact"/>
              <w:rPr>
                <w:rFonts w:hint="eastAsia" w:cs="Arial" w:asciiTheme="minorEastAsia" w:hAnsiTheme="minorEastAsia" w:eastAsiaTheme="minorEastAsia"/>
                <w:spacing w:val="-6"/>
                <w:sz w:val="21"/>
                <w:szCs w:val="21"/>
              </w:rPr>
            </w:pPr>
            <w:r>
              <w:rPr>
                <w:rFonts w:ascii="宋体" w:hAnsi="宋体" w:cs="Arial"/>
                <w:sz w:val="21"/>
                <w:szCs w:val="21"/>
              </w:rPr>
              <w:t>E/OMS: 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环境与职业健康安全目标、</w:t>
            </w:r>
            <w:r>
              <w:rPr>
                <w:rFonts w:ascii="宋体" w:hAnsi="宋体" w:cs="Arial"/>
                <w:sz w:val="21"/>
                <w:szCs w:val="21"/>
              </w:rPr>
              <w:t>6.1.2</w:t>
            </w:r>
            <w:r>
              <w:rPr>
                <w:rFonts w:hint="eastAsia" w:ascii="宋体" w:hAnsi="宋体" w:cs="Arial"/>
                <w:sz w:val="21"/>
                <w:szCs w:val="21"/>
              </w:rPr>
              <w:t>环境因素</w:t>
            </w:r>
            <w:r>
              <w:rPr>
                <w:rFonts w:ascii="宋体" w:hAnsi="宋体" w:cs="Arial"/>
                <w:sz w:val="21"/>
                <w:szCs w:val="21"/>
              </w:rPr>
              <w:t>/</w:t>
            </w:r>
            <w:r>
              <w:rPr>
                <w:rFonts w:hint="eastAsia" w:ascii="宋体" w:hAnsi="宋体" w:cs="Arial"/>
                <w:sz w:val="21"/>
                <w:szCs w:val="21"/>
              </w:rPr>
              <w:t>危险源辨识与评价、</w:t>
            </w:r>
            <w:r>
              <w:rPr>
                <w:rFonts w:ascii="宋体" w:hAnsi="宋体" w:cs="Arial"/>
                <w:sz w:val="21"/>
                <w:szCs w:val="21"/>
              </w:rPr>
              <w:t>8.1</w:t>
            </w:r>
            <w:r>
              <w:rPr>
                <w:rFonts w:hint="eastAsia" w:ascii="宋体" w:hAnsi="宋体" w:cs="Arial"/>
                <w:sz w:val="21"/>
                <w:szCs w:val="21"/>
              </w:rPr>
              <w:t>运行策划和控制、</w:t>
            </w:r>
            <w:r>
              <w:rPr>
                <w:rFonts w:ascii="宋体" w:hAnsi="宋体" w:cs="Arial"/>
                <w:sz w:val="21"/>
                <w:szCs w:val="21"/>
              </w:rPr>
              <w:t>8.2</w:t>
            </w:r>
            <w:r>
              <w:rPr>
                <w:rFonts w:hint="eastAsia" w:ascii="宋体" w:hAnsi="宋体" w:cs="Arial"/>
                <w:sz w:val="21"/>
                <w:szCs w:val="21"/>
              </w:rPr>
              <w:t>应急准备和响应</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023" w:type="dxa"/>
            <w:vMerge w:val="continue"/>
          </w:tcPr>
          <w:p>
            <w:pPr>
              <w:spacing w:line="240" w:lineRule="exact"/>
              <w:rPr>
                <w:rFonts w:hint="eastAsia" w:cs="Arial" w:asciiTheme="minorEastAsia" w:hAnsiTheme="minorEastAsia" w:eastAsiaTheme="minorEastAsia"/>
                <w:sz w:val="21"/>
                <w:szCs w:val="21"/>
              </w:rPr>
            </w:pPr>
          </w:p>
        </w:tc>
        <w:tc>
          <w:tcPr>
            <w:tcW w:w="1559" w:type="dxa"/>
            <w:vMerge w:val="continue"/>
          </w:tcPr>
          <w:p>
            <w:pPr>
              <w:spacing w:line="240" w:lineRule="exact"/>
              <w:rPr>
                <w:rFonts w:cs="Arial" w:asciiTheme="minorEastAsia" w:hAnsiTheme="minorEastAsia" w:eastAsiaTheme="minorEastAsia"/>
                <w:sz w:val="21"/>
                <w:szCs w:val="21"/>
              </w:rPr>
            </w:pPr>
          </w:p>
        </w:tc>
        <w:tc>
          <w:tcPr>
            <w:tcW w:w="981" w:type="dxa"/>
          </w:tcPr>
          <w:p>
            <w:pPr>
              <w:spacing w:line="300" w:lineRule="exact"/>
              <w:rPr>
                <w:rFonts w:hint="default" w:asciiTheme="minorEastAsia" w:hAnsiTheme="minorEastAsia" w:eastAsiaTheme="minorEastAsia"/>
                <w:bCs/>
                <w:sz w:val="21"/>
                <w:szCs w:val="21"/>
                <w:lang w:val="en-US" w:eastAsia="zh-CN"/>
              </w:rPr>
            </w:pPr>
            <w:r>
              <w:rPr>
                <w:rFonts w:hint="eastAsia" w:asciiTheme="minorEastAsia" w:hAnsiTheme="minorEastAsia" w:eastAsiaTheme="minorEastAsia"/>
                <w:bCs/>
                <w:sz w:val="21"/>
                <w:szCs w:val="21"/>
                <w:lang w:val="en-US" w:eastAsia="zh-CN"/>
              </w:rPr>
              <w:t>人事行政部</w:t>
            </w:r>
          </w:p>
        </w:tc>
        <w:tc>
          <w:tcPr>
            <w:tcW w:w="5841" w:type="dxa"/>
          </w:tcPr>
          <w:p>
            <w:pPr>
              <w:adjustRightInd w:val="0"/>
              <w:snapToGrid w:val="0"/>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QMS: 5.3组织的岗位、职责和权限、6.2质量目标、7.1.2人员、7.1.6组织知识、7.2能力、7.3意识、7.5.1形成文件的信息总则、7.5.2形成文件的信息的创建和更新、7.5.3形成文件的信息的控制</w:t>
            </w:r>
            <w:r>
              <w:rPr>
                <w:rFonts w:hint="eastAsia" w:cs="Arial" w:asciiTheme="minorEastAsia" w:hAnsiTheme="minorEastAsia" w:eastAsiaTheme="minorEastAsia"/>
                <w:spacing w:val="-6"/>
                <w:sz w:val="21"/>
                <w:szCs w:val="21"/>
              </w:rPr>
              <w:t>、9.1.1监视、测量、分析和评价总则</w:t>
            </w:r>
            <w:r>
              <w:rPr>
                <w:rFonts w:hint="eastAsia" w:cs="Arial" w:asciiTheme="minorEastAsia" w:hAnsiTheme="minorEastAsia" w:eastAsiaTheme="minorEastAsia"/>
                <w:sz w:val="21"/>
                <w:szCs w:val="21"/>
              </w:rPr>
              <w:t xml:space="preserve">、9.1.3分析与评价、9.2 内部审核、10.2不合格和纠正措施。 </w:t>
            </w:r>
          </w:p>
          <w:p>
            <w:pPr>
              <w:spacing w:line="300" w:lineRule="exact"/>
              <w:rPr>
                <w:rFonts w:hint="eastAsia" w:cs="Arial" w:asciiTheme="minorEastAsia" w:hAnsiTheme="minorEastAsia" w:eastAsiaTheme="minorEastAsia"/>
                <w:spacing w:val="-6"/>
                <w:sz w:val="21"/>
                <w:szCs w:val="21"/>
              </w:rPr>
            </w:pPr>
            <w:r>
              <w:rPr>
                <w:rFonts w:hint="eastAsia" w:cs="Arial" w:asciiTheme="minorEastAsia" w:hAnsiTheme="minorEastAsia" w:eastAsiaTheme="minor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内部审核、10.2不符合/事件和纠正措施，6.1.2环境因素/危险源的辨识与评价、6.1.3合规义务、6.1.4措施的策划、8.1运行策划和控制、9.1监视、测量、分析和评价（9.1.1总则、9.1.2合规性评价）、8.2应急准备和响应。</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3" w:type="dxa"/>
            <w:vAlign w:val="top"/>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14</w:t>
            </w:r>
          </w:p>
        </w:tc>
        <w:tc>
          <w:tcPr>
            <w:tcW w:w="1559" w:type="dxa"/>
            <w:vAlign w:val="top"/>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13日8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14日</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:00</w:t>
            </w:r>
          </w:p>
        </w:tc>
        <w:tc>
          <w:tcPr>
            <w:tcW w:w="981" w:type="dxa"/>
            <w:vAlign w:val="top"/>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部</w:t>
            </w:r>
          </w:p>
          <w:p>
            <w:pPr>
              <w:spacing w:line="300" w:lineRule="exact"/>
              <w:rPr>
                <w:rFonts w:asciiTheme="minorEastAsia" w:hAnsiTheme="minorEastAsia" w:eastAsiaTheme="minorEastAsia"/>
                <w:bCs/>
                <w:sz w:val="21"/>
                <w:szCs w:val="21"/>
              </w:rPr>
            </w:pPr>
          </w:p>
        </w:tc>
        <w:tc>
          <w:tcPr>
            <w:tcW w:w="5841" w:type="dxa"/>
            <w:vAlign w:val="top"/>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QMS:5.3组织的岗位、职责和权限、6.2质量目标、8.2产品和服务的要求、产品和服务的控制、7.1.3基础设施、7.1.4过程运行环境、7.1.5监视和测量资源、</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8.1运行策划和控制、8.3产品和服务的设计和开发不适用确认</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8.5.1</w:t>
            </w:r>
            <w:r>
              <w:rPr>
                <w:rFonts w:hint="eastAsia" w:cs="Arial" w:asciiTheme="minorEastAsia" w:hAnsiTheme="minorEastAsia" w:eastAsiaTheme="minorEastAsia"/>
                <w:sz w:val="21"/>
                <w:szCs w:val="21"/>
                <w:lang w:val="en-US" w:eastAsia="zh-CN"/>
              </w:rPr>
              <w:t>生产</w:t>
            </w:r>
            <w:r>
              <w:rPr>
                <w:rFonts w:hint="eastAsia" w:cs="Arial" w:asciiTheme="minorEastAsia" w:hAnsiTheme="minorEastAsia" w:eastAsiaTheme="minorEastAsia"/>
                <w:sz w:val="21"/>
                <w:szCs w:val="21"/>
              </w:rPr>
              <w:t>和服务提供的控制8.5.2产品标识和可追朔性、8.5.4产品防护、8.5.5交付后的活动</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8.6产品和服务的放行8.7不合格输出的控制10.2不符合/事件和纠正措施</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tcPr>
          <w:p>
            <w:pPr>
              <w:spacing w:line="240" w:lineRule="exact"/>
              <w:jc w:val="center"/>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14</w:t>
            </w:r>
          </w:p>
          <w:p>
            <w:pPr>
              <w:spacing w:line="240" w:lineRule="exact"/>
              <w:rPr>
                <w:rFonts w:cs="Arial" w:asciiTheme="minorEastAsia" w:hAnsiTheme="minorEastAsia" w:eastAsiaTheme="minorEastAsia"/>
                <w:sz w:val="21"/>
                <w:szCs w:val="21"/>
              </w:rPr>
            </w:pPr>
          </w:p>
        </w:tc>
        <w:tc>
          <w:tcPr>
            <w:tcW w:w="1559" w:type="dxa"/>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13日8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14日</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:0</w:t>
            </w:r>
            <w:r>
              <w:rPr>
                <w:rFonts w:hint="eastAsia" w:cs="Arial" w:asciiTheme="minorEastAsia" w:hAnsiTheme="minorEastAsia" w:eastAsiaTheme="minorEastAsia"/>
                <w:sz w:val="21"/>
                <w:szCs w:val="21"/>
                <w:lang w:val="en-US" w:eastAsia="zh-CN"/>
              </w:rPr>
              <w:t>0</w:t>
            </w:r>
          </w:p>
        </w:tc>
        <w:tc>
          <w:tcPr>
            <w:tcW w:w="981" w:type="dxa"/>
          </w:tcPr>
          <w:p>
            <w:pPr>
              <w:spacing w:line="32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人事行政部</w:t>
            </w:r>
          </w:p>
        </w:tc>
        <w:tc>
          <w:tcPr>
            <w:tcW w:w="5841" w:type="dxa"/>
          </w:tcPr>
          <w:p>
            <w:pPr>
              <w:adjustRightInd w:val="0"/>
              <w:snapToGrid w:val="0"/>
              <w:ind w:right="120" w:rightChars="50"/>
              <w:textAlignment w:val="baseline"/>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继续审核</w:t>
            </w:r>
          </w:p>
        </w:tc>
        <w:tc>
          <w:tcPr>
            <w:tcW w:w="778" w:type="dxa"/>
          </w:tcPr>
          <w:p>
            <w:pPr>
              <w:spacing w:line="240" w:lineRule="exact"/>
              <w:ind w:firstLine="210" w:firstLineChars="100"/>
              <w:rPr>
                <w:rFonts w:hint="eastAsia" w:cs="Arial" w:asciiTheme="minorEastAsia" w:hAnsiTheme="minorEastAsia" w:eastAsiaTheme="minorEastAsia"/>
                <w:sz w:val="21"/>
                <w:szCs w:val="21"/>
                <w:u w:val="single"/>
                <w:lang w:eastAsia="zh-CN"/>
              </w:rPr>
            </w:pPr>
            <w:r>
              <w:rPr>
                <w:rFonts w:hint="eastAsia" w:cs="Arial" w:asciiTheme="minorEastAsia" w:hAnsiTheme="minorEastAsia" w:eastAsiaTheme="minorEastAsia"/>
                <w:sz w:val="21"/>
                <w:szCs w:val="21"/>
                <w:u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023" w:type="dxa"/>
            <w:vMerge w:val="restart"/>
          </w:tcPr>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rPr>
              <w:t>2020.</w:t>
            </w:r>
            <w:r>
              <w:rPr>
                <w:rFonts w:hint="eastAsia" w:cs="Arial" w:asciiTheme="minorEastAsia" w:hAnsiTheme="minorEastAsia" w:eastAsiaTheme="minorEastAsia"/>
                <w:sz w:val="21"/>
                <w:szCs w:val="21"/>
                <w:lang w:val="en-US" w:eastAsia="zh-CN"/>
              </w:rPr>
              <w:t>1</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14</w:t>
            </w:r>
          </w:p>
          <w:p>
            <w:pPr>
              <w:spacing w:line="240" w:lineRule="exact"/>
              <w:rPr>
                <w:rFonts w:cs="Arial" w:asciiTheme="minorEastAsia" w:hAnsiTheme="minorEastAsia" w:eastAsiaTheme="minorEastAsia"/>
                <w:sz w:val="21"/>
                <w:szCs w:val="21"/>
              </w:rPr>
            </w:pPr>
          </w:p>
        </w:tc>
        <w:tc>
          <w:tcPr>
            <w:tcW w:w="1559" w:type="dxa"/>
            <w:vMerge w:val="restart"/>
          </w:tcPr>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13日8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:00</w:t>
            </w:r>
          </w:p>
          <w:p>
            <w:pPr>
              <w:spacing w:line="240" w:lineRule="exact"/>
              <w:rPr>
                <w:rFonts w:cs="Arial" w:asciiTheme="minorEastAsia" w:hAnsiTheme="minorEastAsia" w:eastAsiaTheme="minorEastAsia"/>
                <w:sz w:val="21"/>
                <w:szCs w:val="21"/>
              </w:rPr>
            </w:pPr>
          </w:p>
          <w:p>
            <w:pPr>
              <w:spacing w:line="240" w:lineRule="exact"/>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14日</w:t>
            </w:r>
          </w:p>
          <w:p>
            <w:pPr>
              <w:spacing w:line="240" w:lineRule="exact"/>
              <w:rPr>
                <w:rFonts w:cs="Arial" w:asciiTheme="minorEastAsia" w:hAnsiTheme="minorEastAsia" w:eastAsiaTheme="minorEastAsia"/>
                <w:sz w:val="21"/>
                <w:szCs w:val="21"/>
              </w:rPr>
            </w:pPr>
          </w:p>
          <w:p>
            <w:pPr>
              <w:spacing w:line="24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8</w:t>
            </w:r>
            <w:r>
              <w:rPr>
                <w:rFonts w:hint="eastAsia" w:cs="Arial" w:asciiTheme="minorEastAsia" w:hAnsiTheme="minorEastAsia" w:eastAsiaTheme="minorEastAsia"/>
                <w:sz w:val="21"/>
                <w:szCs w:val="21"/>
              </w:rPr>
              <w:t>:30～1</w:t>
            </w:r>
            <w:r>
              <w:rPr>
                <w:rFonts w:hint="eastAsia" w:cs="Arial" w:asciiTheme="minorEastAsia" w:hAnsiTheme="minorEastAsia" w:eastAsiaTheme="minorEastAsia"/>
                <w:sz w:val="21"/>
                <w:szCs w:val="21"/>
                <w:lang w:val="en-US" w:eastAsia="zh-CN"/>
              </w:rPr>
              <w:t>2</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p>
            <w:pPr>
              <w:spacing w:line="240" w:lineRule="exact"/>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12:</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0～13:00</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午餐</w:t>
            </w:r>
            <w:r>
              <w:rPr>
                <w:rFonts w:hint="eastAsia" w:cs="Arial" w:asciiTheme="minorEastAsia" w:hAnsiTheme="minorEastAsia" w:eastAsiaTheme="minorEastAsia"/>
                <w:sz w:val="21"/>
                <w:szCs w:val="21"/>
                <w:lang w:eastAsia="zh-CN"/>
              </w:rPr>
              <w:t>）</w:t>
            </w:r>
          </w:p>
          <w:p>
            <w:pPr>
              <w:spacing w:line="240" w:lineRule="exact"/>
              <w:rPr>
                <w:rFonts w:hint="eastAsia"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13</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:0</w:t>
            </w:r>
            <w:r>
              <w:rPr>
                <w:rFonts w:hint="eastAsia" w:cs="Arial" w:asciiTheme="minorEastAsia" w:hAnsiTheme="minorEastAsia" w:eastAsiaTheme="minorEastAsia"/>
                <w:sz w:val="21"/>
                <w:szCs w:val="21"/>
                <w:lang w:val="en-US" w:eastAsia="zh-CN"/>
              </w:rPr>
              <w:t>0</w:t>
            </w:r>
          </w:p>
        </w:tc>
        <w:tc>
          <w:tcPr>
            <w:tcW w:w="981" w:type="dxa"/>
          </w:tcPr>
          <w:p>
            <w:pPr>
              <w:spacing w:line="28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采购</w:t>
            </w:r>
            <w:r>
              <w:rPr>
                <w:rFonts w:hint="eastAsia" w:cs="Arial" w:asciiTheme="minorEastAsia" w:hAnsiTheme="minorEastAsia" w:eastAsiaTheme="minorEastAsia"/>
                <w:sz w:val="21"/>
                <w:szCs w:val="21"/>
              </w:rPr>
              <w:t>部</w:t>
            </w:r>
          </w:p>
          <w:p>
            <w:pPr>
              <w:spacing w:line="280" w:lineRule="exact"/>
              <w:rPr>
                <w:rFonts w:hint="eastAsia" w:cs="Arial" w:asciiTheme="minorEastAsia" w:hAnsiTheme="minorEastAsia" w:eastAsiaTheme="minorEastAsia"/>
                <w:sz w:val="21"/>
                <w:szCs w:val="21"/>
              </w:rPr>
            </w:pPr>
          </w:p>
          <w:p>
            <w:pPr>
              <w:spacing w:line="280" w:lineRule="exact"/>
              <w:rPr>
                <w:rFonts w:hint="eastAsia" w:cs="Arial" w:asciiTheme="minorEastAsia" w:hAnsiTheme="minorEastAsia" w:eastAsiaTheme="minorEastAsia"/>
                <w:sz w:val="21"/>
                <w:szCs w:val="21"/>
              </w:rPr>
            </w:pPr>
          </w:p>
          <w:p>
            <w:pPr>
              <w:spacing w:line="280" w:lineRule="exact"/>
              <w:rPr>
                <w:rFonts w:hint="eastAsia" w:cs="Arial" w:asciiTheme="minorEastAsia" w:hAnsiTheme="minorEastAsia" w:eastAsiaTheme="minorEastAsia"/>
                <w:sz w:val="21"/>
                <w:szCs w:val="21"/>
              </w:rPr>
            </w:pPr>
          </w:p>
          <w:p>
            <w:pPr>
              <w:spacing w:line="280" w:lineRule="exact"/>
              <w:rPr>
                <w:rFonts w:hint="eastAsia" w:cs="Arial" w:asciiTheme="minorEastAsia" w:hAnsiTheme="minorEastAsia" w:eastAsiaTheme="minorEastAsia"/>
                <w:sz w:val="21"/>
                <w:szCs w:val="21"/>
              </w:rPr>
            </w:pPr>
          </w:p>
          <w:p>
            <w:pPr>
              <w:spacing w:line="280" w:lineRule="exact"/>
              <w:rPr>
                <w:rFonts w:hint="eastAsia" w:cs="Arial" w:asciiTheme="minorEastAsia" w:hAnsiTheme="minorEastAsia" w:eastAsiaTheme="minorEastAsia"/>
                <w:sz w:val="21"/>
                <w:szCs w:val="21"/>
              </w:rPr>
            </w:pPr>
          </w:p>
          <w:p>
            <w:pPr>
              <w:spacing w:line="300" w:lineRule="exact"/>
              <w:rPr>
                <w:rFonts w:asciiTheme="minorEastAsia" w:hAnsiTheme="minorEastAsia" w:eastAsiaTheme="minorEastAsia"/>
                <w:bCs/>
                <w:sz w:val="21"/>
                <w:szCs w:val="21"/>
              </w:rPr>
            </w:pPr>
          </w:p>
        </w:tc>
        <w:tc>
          <w:tcPr>
            <w:tcW w:w="5841" w:type="dxa"/>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z w:val="21"/>
                <w:szCs w:val="21"/>
              </w:rPr>
              <w:t>、8.4外部提供过程、产品和服务的控制、8.5.3顾客或外部供方的财产、</w:t>
            </w:r>
          </w:p>
          <w:p>
            <w:pPr>
              <w:adjustRightInd w:val="0"/>
              <w:snapToGrid w:val="0"/>
              <w:spacing w:line="320" w:lineRule="exact"/>
              <w:ind w:right="120" w:rightChars="50"/>
              <w:jc w:val="left"/>
              <w:textAlignment w:val="baseline"/>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vMerge w:val="restart"/>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B</w:t>
            </w:r>
            <w:r>
              <w:rPr>
                <w:rFonts w:hint="eastAsia" w:cs="Arial" w:asciiTheme="minorEastAsia" w:hAnsiTheme="minorEastAsia" w:eastAsia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023" w:type="dxa"/>
            <w:vMerge w:val="continue"/>
          </w:tcPr>
          <w:p>
            <w:pPr>
              <w:adjustRightInd w:val="0"/>
              <w:snapToGrid w:val="0"/>
              <w:spacing w:line="320" w:lineRule="exact"/>
              <w:ind w:right="120" w:rightChars="50"/>
              <w:jc w:val="left"/>
              <w:textAlignment w:val="baseline"/>
            </w:pPr>
          </w:p>
        </w:tc>
        <w:tc>
          <w:tcPr>
            <w:tcW w:w="1559" w:type="dxa"/>
            <w:vMerge w:val="continue"/>
          </w:tcPr>
          <w:p>
            <w:pPr>
              <w:adjustRightInd w:val="0"/>
              <w:snapToGrid w:val="0"/>
              <w:spacing w:line="320" w:lineRule="exact"/>
              <w:ind w:right="120" w:rightChars="50"/>
              <w:jc w:val="left"/>
              <w:textAlignment w:val="baseline"/>
            </w:pPr>
          </w:p>
        </w:tc>
        <w:tc>
          <w:tcPr>
            <w:tcW w:w="981" w:type="dxa"/>
          </w:tcPr>
          <w:p>
            <w:pPr>
              <w:adjustRightInd w:val="0"/>
              <w:snapToGrid w:val="0"/>
              <w:spacing w:line="320" w:lineRule="exact"/>
              <w:ind w:right="120" w:rightChars="50"/>
              <w:jc w:val="left"/>
              <w:textAlignment w:val="baseline"/>
              <w:rPr>
                <w:rFonts w:hint="default" w:eastAsia="宋体"/>
                <w:lang w:val="en-US" w:eastAsia="zh-CN"/>
              </w:rPr>
            </w:pPr>
            <w:r>
              <w:rPr>
                <w:rFonts w:hint="eastAsia"/>
                <w:sz w:val="21"/>
                <w:szCs w:val="21"/>
                <w:lang w:val="en-US" w:eastAsia="zh-CN"/>
              </w:rPr>
              <w:t>销售部</w:t>
            </w:r>
          </w:p>
        </w:tc>
        <w:tc>
          <w:tcPr>
            <w:tcW w:w="5841" w:type="dxa"/>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QMS:5.3组织的岗位、职责和权限、6.2质量目标、</w:t>
            </w:r>
            <w:r>
              <w:rPr>
                <w:rFonts w:hint="eastAsia" w:cs="Arial" w:asciiTheme="minorEastAsia" w:hAnsiTheme="minorEastAsia" w:eastAsiaTheme="minorEastAsia"/>
                <w:spacing w:val="-6"/>
                <w:sz w:val="21"/>
                <w:szCs w:val="21"/>
              </w:rPr>
              <w:t>7.4沟通/信息交流</w:t>
            </w:r>
            <w:r>
              <w:rPr>
                <w:rFonts w:hint="eastAsia" w:cs="Arial" w:asciiTheme="minorEastAsia" w:hAnsiTheme="minorEastAsia" w:eastAsiaTheme="minorEastAsia"/>
                <w:spacing w:val="-6"/>
                <w:sz w:val="21"/>
                <w:szCs w:val="21"/>
                <w:lang w:val="en-US" w:eastAsia="zh-CN"/>
              </w:rPr>
              <w:t xml:space="preserve"> 、</w:t>
            </w:r>
            <w:r>
              <w:rPr>
                <w:rFonts w:hint="eastAsia" w:cs="Arial" w:asciiTheme="minorEastAsia" w:hAnsiTheme="minorEastAsia" w:eastAsiaTheme="minorEastAsia"/>
                <w:sz w:val="21"/>
                <w:szCs w:val="21"/>
              </w:rPr>
              <w:t>8.2产品和服务的要求、8.5.1销售和服务提供的控制、8.5.2产品标识和可追朔性、8.5.3顾客或外部供方的财产、8.5.4产品防护、8.5.5交付后的活动、8.5.6销售和服务提供的更改控制</w:t>
            </w:r>
            <w:r>
              <w:rPr>
                <w:rFonts w:hint="eastAsia" w:cs="Arial"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9.1.2顾客满意</w:t>
            </w:r>
          </w:p>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E/OMS: 5.3组织的岗位、职责和权限、6.2环境与职业健康安全目标、6.1.2环境因素/危险源辨识与评价、8.1运行策划和控制、8.2应急准备和响应</w:t>
            </w:r>
          </w:p>
        </w:tc>
        <w:tc>
          <w:tcPr>
            <w:tcW w:w="778" w:type="dxa"/>
            <w:vMerge w:val="continue"/>
          </w:tcPr>
          <w:p>
            <w:pPr>
              <w:adjustRightInd w:val="0"/>
              <w:snapToGrid w:val="0"/>
              <w:spacing w:line="320" w:lineRule="exact"/>
              <w:ind w:right="120" w:rightChars="50"/>
              <w:jc w:val="left"/>
              <w:textAlignment w:val="baseline"/>
              <w:rPr>
                <w:rFonts w:hint="eastAsia" w:cs="Arial"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lang w:val="en-US" w:eastAsia="zh-CN"/>
              </w:rPr>
              <w:t>16</w:t>
            </w:r>
            <w:r>
              <w:rPr>
                <w:rFonts w:hint="eastAsia" w:cs="Arial" w:asciiTheme="minorEastAsia" w:hAnsiTheme="minorEastAsia" w:eastAsiaTheme="minorEastAsia"/>
                <w:sz w:val="21"/>
                <w:szCs w:val="21"/>
              </w:rPr>
              <w:t>:00～1</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w:t>
            </w:r>
          </w:p>
        </w:tc>
        <w:tc>
          <w:tcPr>
            <w:tcW w:w="6822" w:type="dxa"/>
            <w:gridSpan w:val="2"/>
          </w:tcPr>
          <w:p>
            <w:pPr>
              <w:spacing w:line="280" w:lineRule="exact"/>
              <w:ind w:firstLine="420" w:firstLineChars="200"/>
              <w:rPr>
                <w:rFonts w:hint="eastAsia" w:cs="Arial" w:asciiTheme="minorEastAsia" w:hAnsiTheme="minorEastAsia" w:eastAsiaTheme="minorEastAsia"/>
                <w:sz w:val="21"/>
                <w:szCs w:val="21"/>
              </w:rPr>
            </w:pPr>
            <w:r>
              <w:rPr>
                <w:rFonts w:hint="eastAsia" w:cs="Arial" w:asciiTheme="minorEastAsia" w:hAnsiTheme="minorEastAsia" w:eastAsiaTheme="minorEastAsia"/>
                <w:sz w:val="21"/>
                <w:szCs w:val="21"/>
              </w:rPr>
              <w:t>补充及跟踪审核：必要部门、必要条款；</w:t>
            </w:r>
          </w:p>
        </w:tc>
        <w:tc>
          <w:tcPr>
            <w:tcW w:w="778" w:type="dxa"/>
          </w:tcPr>
          <w:p>
            <w:pPr>
              <w:spacing w:line="240" w:lineRule="exact"/>
              <w:jc w:val="center"/>
              <w:rPr>
                <w:rFonts w:hint="default" w:cs="Arial" w:asciiTheme="minorEastAsia" w:hAnsiTheme="minorEastAsia" w:eastAsiaTheme="minorEastAsia"/>
                <w:sz w:val="21"/>
                <w:szCs w:val="21"/>
                <w:lang w:val="en-US" w:eastAsia="zh-CN"/>
              </w:rPr>
            </w:pPr>
            <w:r>
              <w:rPr>
                <w:rFonts w:hint="eastAsia" w:cs="Arial" w:asciiTheme="minorEastAsia" w:hAnsiTheme="minorEastAsia" w:eastAsiaTheme="minorEastAsia"/>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23" w:type="dxa"/>
            <w:vMerge w:val="continue"/>
          </w:tcPr>
          <w:p>
            <w:pPr>
              <w:spacing w:line="240" w:lineRule="exact"/>
              <w:rPr>
                <w:rFonts w:cs="Arial" w:asciiTheme="minorEastAsia" w:hAnsiTheme="minorEastAsia" w:eastAsiaTheme="minorEastAsia"/>
                <w:sz w:val="21"/>
                <w:szCs w:val="21"/>
              </w:rPr>
            </w:pPr>
          </w:p>
        </w:tc>
        <w:tc>
          <w:tcPr>
            <w:tcW w:w="1559"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w:t>
            </w:r>
            <w:r>
              <w:rPr>
                <w:rFonts w:hint="eastAsia" w:cs="Arial" w:asciiTheme="minorEastAsia" w:hAnsiTheme="minorEastAsia" w:eastAsiaTheme="minorEastAsia"/>
                <w:sz w:val="21"/>
                <w:szCs w:val="21"/>
                <w:lang w:val="en-US" w:eastAsia="zh-CN"/>
              </w:rPr>
              <w:t>6</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3</w:t>
            </w:r>
            <w:r>
              <w:rPr>
                <w:rFonts w:hint="eastAsia" w:cs="Arial" w:asciiTheme="minorEastAsia" w:hAnsiTheme="minorEastAsia" w:eastAsiaTheme="minorEastAsia"/>
                <w:sz w:val="21"/>
                <w:szCs w:val="21"/>
              </w:rPr>
              <w:t>0～1</w:t>
            </w:r>
            <w:r>
              <w:rPr>
                <w:rFonts w:hint="eastAsia" w:cs="Arial" w:asciiTheme="minorEastAsia" w:hAnsiTheme="minorEastAsia" w:eastAsiaTheme="minorEastAsia"/>
                <w:sz w:val="21"/>
                <w:szCs w:val="21"/>
                <w:lang w:val="en-US" w:eastAsia="zh-CN"/>
              </w:rPr>
              <w:t>7</w:t>
            </w:r>
            <w:r>
              <w:rPr>
                <w:rFonts w:hint="eastAsia" w:cs="Arial" w:asciiTheme="minorEastAsia" w:hAnsiTheme="minorEastAsia" w:eastAsiaTheme="minorEastAsia"/>
                <w:sz w:val="21"/>
                <w:szCs w:val="21"/>
              </w:rPr>
              <w:t>:</w:t>
            </w:r>
            <w:r>
              <w:rPr>
                <w:rFonts w:hint="eastAsia" w:cs="Arial" w:asciiTheme="minorEastAsia" w:hAnsiTheme="minorEastAsia" w:eastAsiaTheme="minorEastAsia"/>
                <w:sz w:val="21"/>
                <w:szCs w:val="21"/>
                <w:lang w:val="en-US" w:eastAsia="zh-CN"/>
              </w:rPr>
              <w:t>0</w:t>
            </w:r>
            <w:r>
              <w:rPr>
                <w:rFonts w:hint="eastAsia" w:cs="Arial" w:asciiTheme="minorEastAsia" w:hAnsiTheme="minorEastAsia" w:eastAsiaTheme="minorEastAsia"/>
                <w:sz w:val="21"/>
                <w:szCs w:val="21"/>
              </w:rPr>
              <w:t>0</w:t>
            </w:r>
          </w:p>
          <w:p>
            <w:pPr>
              <w:spacing w:line="240" w:lineRule="exact"/>
              <w:jc w:val="center"/>
              <w:rPr>
                <w:rFonts w:cs="Arial" w:asciiTheme="minorEastAsia" w:hAnsiTheme="minorEastAsia" w:eastAsiaTheme="minorEastAsia"/>
                <w:sz w:val="21"/>
                <w:szCs w:val="21"/>
              </w:rPr>
            </w:pPr>
          </w:p>
        </w:tc>
        <w:tc>
          <w:tcPr>
            <w:tcW w:w="6822" w:type="dxa"/>
            <w:gridSpan w:val="2"/>
          </w:tcPr>
          <w:p>
            <w:pPr>
              <w:spacing w:line="280" w:lineRule="exact"/>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审核组内部沟通；审核组与受审核方领导层沟通；</w:t>
            </w:r>
          </w:p>
          <w:p>
            <w:pPr>
              <w:spacing w:line="280" w:lineRule="exact"/>
              <w:ind w:firstLine="420" w:firstLineChars="200"/>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末次会：综合评价QMS\EMS\OHSMS管理体系运行总体情况及改进要求，宣告审核发现及审核结论。</w:t>
            </w:r>
          </w:p>
        </w:tc>
        <w:tc>
          <w:tcPr>
            <w:tcW w:w="778" w:type="dxa"/>
          </w:tcPr>
          <w:p>
            <w:pPr>
              <w:spacing w:line="240" w:lineRule="exact"/>
              <w:jc w:val="center"/>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A</w:t>
            </w:r>
            <w:r>
              <w:rPr>
                <w:rFonts w:hint="eastAsia" w:cs="Arial" w:asciiTheme="minorEastAsia" w:hAnsiTheme="minorEastAsia" w:eastAsiaTheme="minorEastAsia"/>
                <w:sz w:val="21"/>
                <w:szCs w:val="21"/>
                <w:lang w:val="en-US" w:eastAsia="zh-CN"/>
              </w:rPr>
              <w:t>BC</w:t>
            </w:r>
            <w:r>
              <w:rPr>
                <w:rFonts w:hint="eastAsia" w:cs="Arial" w:asciiTheme="minorEastAsia" w:hAnsiTheme="minorEastAsia" w:eastAsiaTheme="minorEastAsia"/>
                <w:sz w:val="21"/>
                <w:szCs w:val="21"/>
              </w:rPr>
              <w:t xml:space="preserve"> </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713A30"/>
    <w:rsid w:val="64BB2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11</TotalTime>
  <ScaleCrop>false</ScaleCrop>
  <LinksUpToDate>false</LinksUpToDate>
  <CharactersWithSpaces>1266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2021-01-11T14:39:49Z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