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0493-2019-Q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重庆瑞朗电气有限公司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重庆瑞朗电气有限公司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重庆市北部新区高新园星光大道62号海王星科技大厦五区6层</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重庆市江北区寸滩曙光工业园区C区7栋6楼</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王雪琴</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023-67940459</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王俭</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王雪琴</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环保设备（水、空气处理设备）的生产和销售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18.02.06</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宋体"/>
          <w:color w:val="000000"/>
          <w:szCs w:val="24"/>
          <w:lang w:eastAsia="zh-CN"/>
        </w:rPr>
      </w:pPr>
      <w:r>
        <w:rPr>
          <w:rFonts w:hint="eastAsia" w:ascii="宋体" w:hAnsi="宋体"/>
          <w:b/>
          <w:color w:val="000000"/>
          <w:sz w:val="20"/>
          <w:szCs w:val="20"/>
        </w:rPr>
        <w:t>部门：</w:t>
      </w:r>
      <w:r>
        <w:rPr>
          <w:rFonts w:hint="eastAsia" w:ascii="宋体" w:hAnsi="宋体" w:cs="宋体"/>
          <w:color w:val="000000"/>
          <w:szCs w:val="24"/>
          <w:lang w:eastAsia="zh-CN"/>
        </w:rPr>
        <w:t>供销部、生产部、办公室</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t>重庆市江北区寸滩曙光工业园区C区7栋6楼</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2</w:t>
            </w:r>
            <w:r>
              <w:rPr>
                <w:rFonts w:hint="eastAsia" w:ascii="宋体" w:hAnsi="宋体"/>
                <w:color w:val="000000" w:themeColor="text1"/>
                <w:sz w:val="20"/>
                <w:szCs w:val="20"/>
                <w14:textFill>
                  <w14:solidFill>
                    <w14:schemeClr w14:val="tx1"/>
                  </w14:solidFill>
                </w14:textFill>
              </w:rPr>
              <w:t>）质量管理体系是否删减</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3</w:t>
            </w:r>
            <w:r>
              <w:rPr>
                <w:rFonts w:hint="eastAsia" w:ascii="宋体" w:hAnsi="宋体"/>
                <w:color w:val="000000" w:themeColor="text1"/>
                <w:sz w:val="20"/>
                <w:szCs w:val="20"/>
                <w14:textFill>
                  <w14:solidFill>
                    <w14:schemeClr w14:val="tx1"/>
                  </w14:solidFill>
                </w14:textFill>
              </w:rPr>
              <w:t xml:space="preserve">）删减是否合理 </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合理</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r>
              <w:rPr>
                <w:rFonts w:ascii="宋体" w:hAnsi="宋体"/>
                <w:color w:val="000000" w:themeColor="text1"/>
                <w:sz w:val="20"/>
                <w:szCs w:val="20"/>
                <w14:textFill>
                  <w14:solidFill>
                    <w14:schemeClr w14:val="tx1"/>
                  </w14:solidFill>
                </w14:textFill>
              </w:rPr>
              <w:t xml:space="preserve"> </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MS Mincho" w:hAnsi="MS Mincho" w:eastAsia="MS Mincho" w:cs="MS Mincho"/>
                <w:b/>
                <w:color w:val="000000" w:themeColor="text1"/>
                <w:spacing w:val="-10"/>
                <w:szCs w:val="21"/>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ascii="宋体" w:hAnsi="宋体"/>
                <w:b/>
                <w:color w:val="000000"/>
                <w:sz w:val="20"/>
                <w:szCs w:val="20"/>
              </w:rPr>
              <w:t>环保设备（水、空气处理设备）的生产和销售</w:t>
            </w:r>
            <w:r>
              <w:rPr>
                <w:rFonts w:hint="eastAsia" w:ascii="宋体" w:hAnsi="宋体"/>
                <w:szCs w:val="21"/>
              </w:rPr>
              <w:t xml:space="preserve">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ascii="宋体" w:hAnsi="宋体"/>
                <w:b/>
                <w:color w:val="000000"/>
                <w:sz w:val="20"/>
                <w:szCs w:val="20"/>
                <w:lang w:eastAsia="zh-CN"/>
              </w:rPr>
            </w:pPr>
            <w:r>
              <w:rPr>
                <w:rFonts w:hint="eastAsia" w:ascii="宋体" w:hAnsi="宋体"/>
                <w:b/>
                <w:color w:val="000000"/>
                <w:sz w:val="20"/>
                <w:szCs w:val="20"/>
              </w:rPr>
              <w:t>公司部门设置：</w:t>
            </w:r>
            <w:r>
              <w:rPr>
                <w:rFonts w:hint="eastAsia" w:ascii="宋体" w:hAnsi="宋体" w:cs="宋体"/>
                <w:color w:val="000000"/>
                <w:szCs w:val="24"/>
                <w:lang w:eastAsia="zh-CN"/>
              </w:rPr>
              <w:t>供销部、生产部、办公室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cs="宋体"/>
                <w:color w:val="000000"/>
                <w:szCs w:val="24"/>
                <w:lang w:eastAsia="zh-CN"/>
              </w:rPr>
              <w:t>办公室</w:t>
            </w:r>
          </w:p>
          <w:p>
            <w:pPr>
              <w:tabs>
                <w:tab w:val="left" w:pos="360"/>
              </w:tabs>
              <w:spacing w:beforeLines="50"/>
              <w:ind w:left="357" w:hanging="357"/>
              <w:rPr>
                <w:rFonts w:hint="eastAsia" w:ascii="宋体" w:hAnsi="宋体" w:cs="宋体"/>
                <w:color w:val="000000"/>
                <w:szCs w:val="24"/>
                <w:lang w:eastAsia="zh-CN"/>
              </w:rPr>
            </w:pPr>
            <w:r>
              <w:rPr>
                <w:rFonts w:hint="eastAsia" w:ascii="宋体" w:hAnsi="宋体"/>
                <w:b/>
                <w:color w:val="000000"/>
                <w:sz w:val="20"/>
                <w:szCs w:val="20"/>
              </w:rPr>
              <w:t>质量管理部门：</w:t>
            </w:r>
            <w:r>
              <w:rPr>
                <w:rFonts w:hint="eastAsia" w:ascii="宋体" w:hAnsi="宋体" w:cs="宋体"/>
                <w:color w:val="000000"/>
                <w:szCs w:val="24"/>
                <w:lang w:eastAsia="zh-CN"/>
              </w:rPr>
              <w:t>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bookmarkStart w:id="17" w:name="生产地址"/>
            <w:r>
              <w:t>重庆市江北区寸滩曙光工业园区C区7栋6楼</w:t>
            </w:r>
            <w:bookmarkEnd w:id="17"/>
            <w:r>
              <w:rPr>
                <w:rFonts w:hint="eastAsia" w:ascii="宋体" w:hAnsi="宋体" w:cs="宋体"/>
                <w:sz w:val="21"/>
                <w:szCs w:val="21"/>
              </w:rPr>
              <w:t>。</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w:t>
            </w:r>
            <w:r>
              <w:rPr>
                <w:rFonts w:hint="eastAsia" w:ascii="宋体" w:hAnsi="宋体"/>
                <w:color w:val="000000"/>
                <w:sz w:val="20"/>
                <w:szCs w:val="20"/>
                <w:lang w:eastAsia="zh-CN"/>
              </w:rPr>
              <w:t>有</w:t>
            </w:r>
            <w:r>
              <w:rPr>
                <w:rFonts w:hint="eastAsia" w:ascii="宋体" w:hAnsi="宋体"/>
                <w:color w:val="000000"/>
                <w:sz w:val="20"/>
                <w:szCs w:val="20"/>
              </w:rPr>
              <w:t xml:space="preserve">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ind w:firstLine="1000" w:firstLineChars="500"/>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sz w:val="21"/>
                <w:szCs w:val="21"/>
              </w:rPr>
            </w:pPr>
            <w:r>
              <w:rPr>
                <w:rFonts w:hint="eastAsia" w:ascii="宋体"/>
                <w:color w:val="000000"/>
                <w:sz w:val="20"/>
                <w:szCs w:val="20"/>
              </w:rPr>
              <w:t>□产品技术标准号：</w:t>
            </w:r>
            <w:r>
              <w:rPr>
                <w:rFonts w:hint="eastAsia" w:ascii="宋体" w:hAnsi="宋体"/>
                <w:color w:val="000000"/>
                <w:szCs w:val="21"/>
                <w:lang w:eastAsia="zh-CN"/>
              </w:rPr>
              <w:t>废气处理器GB3095-2012； GB/T16157-1996、空气净化器GB/T18801-2015、全程水处理器GB 19510.9、医疗废水消毒机GB18466-2005，GB4706.1-2005、</w:t>
            </w:r>
            <w:r>
              <w:rPr>
                <w:rFonts w:hint="eastAsia" w:ascii="宋体" w:hAnsi="宋体"/>
                <w:color w:val="000000"/>
                <w:szCs w:val="21"/>
                <w:lang w:val="en-US" w:eastAsia="zh-CN"/>
              </w:rPr>
              <w:t>GB/T5750.11-2006生活饮用水标准检验方法消毒剂指标</w:t>
            </w:r>
            <w:r>
              <w:rPr>
                <w:rFonts w:hint="eastAsia" w:ascii="宋体" w:hAnsi="宋体"/>
                <w:color w:val="000000"/>
                <w:szCs w:val="21"/>
                <w:lang w:eastAsia="zh-CN"/>
              </w:rPr>
              <w:t>等标准和客户要求及协</w:t>
            </w:r>
            <w:r>
              <w:rPr>
                <w:rFonts w:hint="eastAsia" w:ascii="宋体" w:hAnsi="宋体"/>
                <w:sz w:val="21"/>
                <w:szCs w:val="21"/>
              </w:rPr>
              <w:t>议</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现场是否有产品检验报告</w:t>
            </w:r>
            <w:r>
              <w:rPr>
                <w:rFonts w:ascii="宋体" w:hAnsi="宋体"/>
                <w:color w:val="000000" w:themeColor="text1"/>
                <w:spacing w:val="-10"/>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是否需要型式</w:t>
            </w:r>
            <w:r>
              <w:rPr>
                <w:rFonts w:hint="eastAsia" w:ascii="宋体" w:hAnsi="宋体"/>
                <w:color w:val="000000" w:themeColor="text1"/>
                <w:spacing w:val="-10"/>
                <w:sz w:val="20"/>
                <w:szCs w:val="20"/>
                <w14:textFill>
                  <w14:solidFill>
                    <w14:schemeClr w14:val="tx1"/>
                  </w14:solidFill>
                </w14:textFill>
              </w:rPr>
              <w:t>试验□是</w:t>
            </w:r>
            <w:r>
              <w:rPr>
                <w:rFonts w:hint="eastAsia" w:ascii="MS Mincho" w:hAnsi="MS Mincho" w:cs="MS Mincho"/>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否，是否有型式试验报告□是</w:t>
            </w:r>
            <w:r>
              <w:rPr>
                <w:rFonts w:hint="eastAsia" w:ascii="MS Mincho" w:hAnsi="MS Mincho" w:cs="MS Mincho"/>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Cs w:val="21"/>
              </w:rPr>
              <w:t>环保设备（水、空气处理设备）的生产和销售</w:t>
            </w:r>
            <w:r>
              <w:rPr>
                <w:rFonts w:hint="eastAsia" w:ascii="宋体" w:hAnsi="宋体"/>
                <w:sz w:val="21"/>
                <w:szCs w:val="21"/>
                <w:lang w:val="en-US" w:eastAsia="zh-CN"/>
              </w:rPr>
              <w:t>流程</w:t>
            </w:r>
            <w:r>
              <w:rPr>
                <w:rFonts w:hint="eastAsia" w:ascii="宋体" w:hAnsi="宋体" w:cs="宋体"/>
                <w:b/>
                <w:bCs/>
                <w:kern w:val="0"/>
                <w:sz w:val="21"/>
                <w:szCs w:val="21"/>
              </w:rPr>
              <w:t xml:space="preserve"> ：</w:t>
            </w:r>
            <w:r>
              <w:rPr>
                <w:rFonts w:hint="eastAsia"/>
                <w:sz w:val="21"/>
                <w:szCs w:val="21"/>
              </w:rPr>
              <w:t>采购配件—组装—调试—检验—打包—入库</w:t>
            </w:r>
            <w:r>
              <w:rPr>
                <w:rFonts w:hint="eastAsia"/>
                <w:sz w:val="21"/>
                <w:szCs w:val="21"/>
                <w:lang w:val="en-US" w:eastAsia="zh-CN"/>
              </w:rPr>
              <w:t>---签订合同---销售----交付客户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关键过程有：</w:t>
            </w:r>
            <w:r>
              <w:rPr>
                <w:rFonts w:hint="eastAsia" w:ascii="宋体" w:hAnsi="宋体"/>
                <w:color w:val="000000" w:themeColor="text1"/>
                <w:szCs w:val="21"/>
                <w:lang w:eastAsia="zh-CN"/>
                <w14:textFill>
                  <w14:solidFill>
                    <w14:schemeClr w14:val="tx1"/>
                  </w14:solidFill>
                </w14:textFill>
              </w:rPr>
              <w:t>组装过程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针对关键过程建立的控制文件有：</w:t>
            </w:r>
            <w:r>
              <w:rPr>
                <w:rFonts w:hint="eastAsia" w:ascii="宋体" w:hAnsi="宋体"/>
                <w:color w:val="000000" w:themeColor="text1"/>
                <w:spacing w:val="-10"/>
                <w:sz w:val="20"/>
                <w:szCs w:val="20"/>
                <w:lang w:eastAsia="zh-CN"/>
                <w14:textFill>
                  <w14:solidFill>
                    <w14:schemeClr w14:val="tx1"/>
                  </w14:solidFill>
                </w14:textFill>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是否明确了外包过程的控制方法：</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eastAsia="zh-CN"/>
              </w:rPr>
            </w:pPr>
            <w:r>
              <w:rPr>
                <w:rFonts w:hint="eastAsia" w:ascii="宋体" w:hAnsi="宋体"/>
                <w:color w:val="000000"/>
                <w:spacing w:val="-10"/>
                <w:sz w:val="20"/>
                <w:szCs w:val="20"/>
              </w:rPr>
              <w:t>主要</w:t>
            </w:r>
            <w:r>
              <w:rPr>
                <w:rFonts w:hint="eastAsia" w:ascii="宋体" w:hAnsi="宋体"/>
                <w:color w:val="000000" w:themeColor="text1"/>
                <w:spacing w:val="-10"/>
                <w:sz w:val="20"/>
                <w:szCs w:val="20"/>
              </w:rPr>
              <w:t>设备：办公设备、电脑、液压叉车、装配工具</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压力测试装置等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sz w:val="21"/>
                <w:szCs w:val="21"/>
              </w:rPr>
              <w:t>游标卡尺、万用表、</w:t>
            </w:r>
            <w:r>
              <w:rPr>
                <w:rFonts w:hint="eastAsia" w:ascii="宋体" w:hAnsi="宋体"/>
                <w:sz w:val="21"/>
                <w:szCs w:val="21"/>
                <w:lang w:eastAsia="zh-CN"/>
              </w:rPr>
              <w:t>钢卷尺、压力表、耐电压测试仪、绝缘电阻测试仪。其中压力表、耐电压测试仪、绝缘电阻测试仪不能提供有效校准证书。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生产现场</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rPr>
              <w:t>2019年9月8</w:t>
            </w:r>
            <w:r>
              <w:rPr>
                <w:rFonts w:hint="eastAsia"/>
                <w:szCs w:val="21"/>
              </w:rPr>
              <w:t>日进行了内部审核。内部审核组组成：</w:t>
            </w:r>
            <w:r>
              <w:rPr>
                <w:rFonts w:hint="eastAsia"/>
                <w:sz w:val="21"/>
                <w:szCs w:val="21"/>
              </w:rPr>
              <w:t>春江（生产部） B    审核</w:t>
            </w:r>
            <w:r>
              <w:rPr>
                <w:rFonts w:hint="eastAsia"/>
                <w:sz w:val="21"/>
                <w:szCs w:val="21"/>
                <w:lang w:eastAsia="zh-CN"/>
              </w:rPr>
              <w:t>组</w:t>
            </w:r>
            <w:r>
              <w:rPr>
                <w:rFonts w:hint="eastAsia"/>
                <w:sz w:val="21"/>
                <w:szCs w:val="21"/>
              </w:rPr>
              <w:t xml:space="preserve">员：孙吉（办公室） A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w:t>
            </w:r>
            <w:r>
              <w:rPr>
                <w:rFonts w:hint="eastAsia" w:ascii="宋体" w:hAnsi="宋体"/>
                <w:kern w:val="0"/>
                <w:szCs w:val="21"/>
                <w:lang w:val="en-US" w:eastAsia="zh-CN"/>
              </w:rPr>
              <w:t>18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环保设备（水、空气处理设备）的生产和销售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受审核方：重庆瑞朗电气有限公司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hint="eastAsia" w:ascii="宋体" w:eastAsia="宋体"/>
                <w:color w:val="000000" w:themeColor="text1"/>
                <w:sz w:val="24"/>
                <w:szCs w:val="24"/>
                <w:lang w:val="en-US" w:eastAsia="zh-CN"/>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1</w:t>
            </w: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hint="eastAsia" w:ascii="宋体" w:eastAsia="宋体"/>
                <w:color w:val="FF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抽查在用检测设备的检定或校准证书,游标卡尺、万用表、钢卷尺能提供有效的校准检定证书（详见附件），压力表、耐电压测试仪、绝缘电阻测试仪不能提供有效的校准证书</w:t>
            </w: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GB/T19001-2016</w:t>
            </w: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rFonts w:hint="default" w:eastAsia="宋体"/>
                <w:color w:val="000000" w:themeColor="text1"/>
                <w:sz w:val="21"/>
                <w:szCs w:val="21"/>
                <w:lang w:val="en-US" w:eastAsia="zh-CN"/>
                <w14:textFill>
                  <w14:solidFill>
                    <w14:schemeClr w14:val="tx1"/>
                  </w14:solidFill>
                </w14:textFill>
              </w:rPr>
            </w:pPr>
          </w:p>
        </w:tc>
        <w:tc>
          <w:tcPr>
            <w:tcW w:w="1811" w:type="dxa"/>
          </w:tcPr>
          <w:p>
            <w:pPr>
              <w:pStyle w:val="4"/>
              <w:pBdr>
                <w:bottom w:val="none" w:color="auto" w:sz="0" w:space="0"/>
              </w:pBdr>
              <w:ind w:right="60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7.1.5.2</w:t>
            </w: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rFonts w:hint="default" w:eastAsia="宋体"/>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月 </w:t>
            </w:r>
            <w:r>
              <w:rPr>
                <w:rFonts w:hint="eastAsia"/>
                <w:b/>
                <w:color w:val="000000"/>
                <w:sz w:val="22"/>
                <w:szCs w:val="22"/>
                <w:lang w:val="en-US" w:eastAsia="zh-CN"/>
              </w:rPr>
              <w:t>28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月 </w:t>
            </w:r>
            <w:r>
              <w:rPr>
                <w:rFonts w:hint="eastAsia"/>
                <w:b/>
                <w:color w:val="000000"/>
                <w:sz w:val="22"/>
                <w:szCs w:val="22"/>
                <w:lang w:val="en-US" w:eastAsia="zh-CN"/>
              </w:rPr>
              <w:t>28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☑二阶段</w:t>
            </w:r>
            <w:r>
              <w:rPr>
                <w:rFonts w:hint="eastAsia"/>
                <w:b/>
                <w:color w:val="000000"/>
                <w:spacing w:val="-10"/>
                <w:szCs w:val="21"/>
              </w:rPr>
              <w:t>未</w:t>
            </w:r>
            <w:r>
              <w:rPr>
                <w:rFonts w:hint="eastAsia"/>
                <w:b/>
                <w:color w:val="000000"/>
                <w:szCs w:val="21"/>
              </w:rPr>
              <w:t>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16</w:t>
            </w:r>
            <w:bookmarkStart w:id="18" w:name="_GoBack"/>
            <w:bookmarkEnd w:id="18"/>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8A769EB"/>
    <w:rsid w:val="0B1F24B2"/>
    <w:rsid w:val="0C8275B4"/>
    <w:rsid w:val="0D26506B"/>
    <w:rsid w:val="0F256DF2"/>
    <w:rsid w:val="0F6755B5"/>
    <w:rsid w:val="107D19A6"/>
    <w:rsid w:val="11FF7655"/>
    <w:rsid w:val="13905027"/>
    <w:rsid w:val="1B7C5D4F"/>
    <w:rsid w:val="1CB91E8D"/>
    <w:rsid w:val="1E9E0F00"/>
    <w:rsid w:val="21912F89"/>
    <w:rsid w:val="24CE6858"/>
    <w:rsid w:val="2AF40DDA"/>
    <w:rsid w:val="2AF555A2"/>
    <w:rsid w:val="37AF4BEA"/>
    <w:rsid w:val="3C335731"/>
    <w:rsid w:val="3D333694"/>
    <w:rsid w:val="3F2266C8"/>
    <w:rsid w:val="40737706"/>
    <w:rsid w:val="41CA360A"/>
    <w:rsid w:val="42317FF1"/>
    <w:rsid w:val="44153258"/>
    <w:rsid w:val="46F219BF"/>
    <w:rsid w:val="49916B26"/>
    <w:rsid w:val="4AC10456"/>
    <w:rsid w:val="4DC951D7"/>
    <w:rsid w:val="4E7F1263"/>
    <w:rsid w:val="4F163653"/>
    <w:rsid w:val="533A3EED"/>
    <w:rsid w:val="53535CF4"/>
    <w:rsid w:val="5C1C5C3E"/>
    <w:rsid w:val="5CC237FA"/>
    <w:rsid w:val="5D7A00A7"/>
    <w:rsid w:val="5DEE6D1B"/>
    <w:rsid w:val="5F8D3C9B"/>
    <w:rsid w:val="5FE6444C"/>
    <w:rsid w:val="62D57D8A"/>
    <w:rsid w:val="62D838CB"/>
    <w:rsid w:val="640B1E0C"/>
    <w:rsid w:val="647F5BA5"/>
    <w:rsid w:val="656206D1"/>
    <w:rsid w:val="667978D5"/>
    <w:rsid w:val="6AF45348"/>
    <w:rsid w:val="6BBB1423"/>
    <w:rsid w:val="6BF216D2"/>
    <w:rsid w:val="6C3949E6"/>
    <w:rsid w:val="6C4E4063"/>
    <w:rsid w:val="6C8B60DE"/>
    <w:rsid w:val="6CB121D3"/>
    <w:rsid w:val="701F7C21"/>
    <w:rsid w:val="7165663F"/>
    <w:rsid w:val="73F04CA8"/>
    <w:rsid w:val="749F3376"/>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5</TotalTime>
  <ScaleCrop>false</ScaleCrop>
  <LinksUpToDate>false</LinksUpToDate>
  <CharactersWithSpaces>8175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2019-10-16T08:57:20Z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