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仙桃市恒源商砼建材有限公司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2020.12.23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2676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2020-12-24T03:01:24Z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