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荆门市万千塑业有限责任公司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0586-2020-QEO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周涛</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2019-N1QMS-3072033</w:t>
            </w:r>
          </w:p>
          <w:p>
            <w:pPr>
              <w:snapToGrid w:val="0"/>
              <w:spacing w:line="320" w:lineRule="exact"/>
              <w:ind w:left="1309"/>
              <w:rPr>
                <w:sz w:val="22"/>
                <w:szCs w:val="22"/>
                <w:highlight w:val="none"/>
              </w:rPr>
            </w:pPr>
            <w:r>
              <w:rPr>
                <w:sz w:val="22"/>
                <w:szCs w:val="22"/>
                <w:highlight w:val="none"/>
              </w:rPr>
              <w:t>2018-N1EMS-2072033</w:t>
            </w:r>
          </w:p>
          <w:p>
            <w:pPr>
              <w:snapToGrid w:val="0"/>
              <w:spacing w:line="320" w:lineRule="exact"/>
              <w:ind w:left="1309"/>
              <w:rPr>
                <w:sz w:val="22"/>
                <w:szCs w:val="22"/>
                <w:highlight w:val="none"/>
              </w:rPr>
            </w:pPr>
            <w:r>
              <w:rPr>
                <w:sz w:val="22"/>
                <w:szCs w:val="22"/>
                <w:highlight w:val="none"/>
              </w:rPr>
              <w:t>2018-N1OHSMS-2072033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李凤仪</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2019-N1QMS-3031946</w:t>
            </w:r>
          </w:p>
          <w:p>
            <w:pPr>
              <w:snapToGrid w:val="0"/>
              <w:spacing w:line="320" w:lineRule="exact"/>
              <w:ind w:left="1309"/>
              <w:rPr>
                <w:sz w:val="22"/>
                <w:szCs w:val="22"/>
                <w:highlight w:val="none"/>
              </w:rPr>
            </w:pPr>
            <w:r>
              <w:rPr>
                <w:sz w:val="22"/>
                <w:szCs w:val="22"/>
                <w:highlight w:val="none"/>
              </w:rPr>
              <w:t>2018-N1EMS-2031946</w:t>
            </w:r>
          </w:p>
          <w:p>
            <w:pPr>
              <w:snapToGrid w:val="0"/>
              <w:spacing w:line="320" w:lineRule="exact"/>
              <w:ind w:left="1309"/>
              <w:rPr>
                <w:sz w:val="22"/>
                <w:szCs w:val="22"/>
                <w:highlight w:val="none"/>
              </w:rPr>
            </w:pPr>
            <w:r>
              <w:rPr>
                <w:sz w:val="22"/>
                <w:szCs w:val="22"/>
                <w:highlight w:val="non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潘荣君</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ISC-JSZJ-208</w:t>
            </w:r>
          </w:p>
          <w:p>
            <w:pPr>
              <w:snapToGrid w:val="0"/>
              <w:spacing w:line="320" w:lineRule="exact"/>
              <w:ind w:left="1309"/>
              <w:rPr>
                <w:sz w:val="22"/>
                <w:szCs w:val="22"/>
                <w:highlight w:val="none"/>
              </w:rPr>
            </w:pPr>
            <w:r>
              <w:rPr>
                <w:sz w:val="22"/>
                <w:szCs w:val="22"/>
                <w:highlight w:val="none"/>
              </w:rPr>
              <w:t>ISC-JSZJ-208</w:t>
            </w:r>
          </w:p>
          <w:p>
            <w:pPr>
              <w:snapToGrid w:val="0"/>
              <w:spacing w:line="320" w:lineRule="exact"/>
              <w:ind w:left="1309"/>
              <w:rPr>
                <w:sz w:val="22"/>
                <w:szCs w:val="22"/>
                <w:highlight w:val="none"/>
              </w:rPr>
            </w:pPr>
            <w:r>
              <w:rPr>
                <w:sz w:val="22"/>
                <w:szCs w:val="22"/>
                <w:highlight w:val="none"/>
              </w:rPr>
              <w:t>ISC-JSZJ-208</w:t>
            </w:r>
          </w:p>
          <w:p>
            <w:pPr>
              <w:snapToGrid w:val="0"/>
              <w:spacing w:line="320" w:lineRule="exact"/>
              <w:ind w:left="1309"/>
              <w:rPr>
                <w:sz w:val="22"/>
                <w:szCs w:val="22"/>
                <w:highlight w:val="none"/>
              </w:rPr>
            </w:pPr>
            <w:r>
              <w:rPr>
                <w:sz w:val="22"/>
                <w:szCs w:val="22"/>
                <w:highlight w:val="none"/>
              </w:rPr>
              <w:t>洪湖市鼎固商砼有限公司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7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2020.12.12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2020.12.12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D9F1D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39</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2020-12-12T07:56:34Z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