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596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96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/>
                <w:sz w:val="24"/>
                <w:szCs w:val="24"/>
              </w:rPr>
              <w:t>部、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/>
                <w:sz w:val="24"/>
                <w:szCs w:val="24"/>
              </w:rPr>
              <w:t>部、生产部、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销售</w:t>
            </w: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财务部</w:t>
            </w:r>
            <w:r>
              <w:rPr>
                <w:rFonts w:hint="eastAsia"/>
                <w:sz w:val="24"/>
                <w:szCs w:val="24"/>
              </w:rPr>
              <w:t>，陪同：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周承荣 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596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审核员：伍光华、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李凤仪、周涛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潘荣君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sz w:val="24"/>
                <w:szCs w:val="24"/>
              </w:rPr>
              <w:t xml:space="preserve"> 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59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</w:rPr>
              <w:t>认证范围产品用途、顾客群等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/>
          <w:p/>
          <w:p/>
          <w:p/>
          <w:p/>
          <w:p/>
          <w:p/>
          <w:p/>
          <w:p>
            <w:pPr>
              <w:pStyle w:val="16"/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  <w:r>
              <w:rPr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/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</w:p>
          <w:p/>
        </w:tc>
        <w:tc>
          <w:tcPr>
            <w:tcW w:w="960" w:type="dxa"/>
          </w:tcPr>
          <w:p/>
        </w:tc>
        <w:tc>
          <w:tcPr>
            <w:tcW w:w="10596" w:type="dxa"/>
          </w:tcPr>
          <w:p>
            <w:pPr>
              <w:spacing w:line="24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荆门万千塑业有限责任公司成立于2004年8月，经多年的发展，现拥有固定资产8000多万元，近年来公司规模不断扩大，产量与效益不断上升。2010年在沙洋县219省道、沈集镇荆潜路1号，投资5000多万元年生产能力达5000条编织袋的生产线，2014年全年实现产值5800万元，销售5600万元，利税近500万元，已位居荆门市同行业前列。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公司拥有先进的生产设备设施，有拉丝生产线、圆织机、复合生产线、包装线、印刷线等设备设施。</w:t>
            </w:r>
          </w:p>
          <w:p>
            <w:pPr>
              <w:spacing w:line="240" w:lineRule="auto"/>
              <w:ind w:firstLine="570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公司拥有雄厚的技术力量，并不断引进行业技术人才，学习先进的管理经验，多年来公司培训了大批熟练技术工人，并有不同层次地从事多年编制生产、销售、经验丰富的管理人员。</w:t>
            </w:r>
          </w:p>
          <w:p>
            <w:pPr>
              <w:spacing w:line="240" w:lineRule="auto"/>
              <w:ind w:firstLine="430" w:firstLineChars="205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持续提升产品质量，全力满足顾客要求是我们不断追求的目标。我们已</w:t>
            </w:r>
            <w:r>
              <w:rPr>
                <w:rFonts w:hint="eastAsia" w:ascii="宋体" w:hAnsi="宋体"/>
                <w:sz w:val="21"/>
                <w:szCs w:val="21"/>
              </w:rPr>
              <w:t>优质的产品质量和服务与社会各界携手合作、共创辉煌。</w:t>
            </w:r>
          </w:p>
          <w:p>
            <w:pPr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现场确认范围</w:t>
            </w:r>
          </w:p>
          <w:p>
            <w:bookmarkStart w:id="0" w:name="审核范围"/>
            <w:r>
              <w:t>Q：塑料编织袋的生产及销售</w:t>
            </w:r>
          </w:p>
          <w:p>
            <w:r>
              <w:t>E：塑料编织袋的生产及销售所涉及的相关环境管理活动</w:t>
            </w:r>
          </w:p>
          <w:p>
            <w:r>
              <w:t>O：</w:t>
            </w:r>
            <w:bookmarkEnd w:id="0"/>
            <w:r>
              <w:t>塑料编织袋的生产及销售所涉及的相关职业健康安全管理活动</w:t>
            </w:r>
          </w:p>
          <w:p>
            <w:pP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企业按顾客要求提供产品，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不适用条款：</w:t>
            </w:r>
            <w:r>
              <w:rPr>
                <w:rFonts w:ascii="宋体" w:hAnsi="宋体"/>
                <w:b w:val="0"/>
                <w:bCs/>
                <w:szCs w:val="21"/>
              </w:rPr>
              <w:t>Q 8.3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且不影响满足顾客要求和法律法规要求的执行或责任。</w:t>
            </w:r>
          </w:p>
          <w:p>
            <w:pPr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经识别：关键过程：加热拉丝、圆织    特殊过程：加热拉丝、复膜过程</w:t>
            </w: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质量环境职业健康安全管理体系于</w:t>
            </w: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asci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Cs w:val="21"/>
              </w:rPr>
              <w:t>建立并正式实施。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组织机构：</w:t>
            </w:r>
            <w:r>
              <w:rPr>
                <w:rFonts w:hint="eastAsia"/>
                <w:sz w:val="21"/>
                <w:szCs w:val="21"/>
              </w:rPr>
              <w:t>管理层、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/>
                <w:sz w:val="21"/>
                <w:szCs w:val="21"/>
              </w:rPr>
              <w:t>部、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/>
                <w:sz w:val="21"/>
                <w:szCs w:val="21"/>
              </w:rPr>
              <w:t>部、生产部、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财务部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/>
                <w:kern w:val="2"/>
                <w:szCs w:val="21"/>
              </w:rPr>
              <w:t>实现流程为：</w:t>
            </w:r>
            <w:r>
              <w:rPr>
                <w:sz w:val="24"/>
              </w:rPr>
              <w:t xml:space="preserve">  </w:t>
            </w:r>
          </w:p>
          <w:p>
            <w:pPr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pict>
                <v:shape id="Text Box 1711" o:spid="_x0000_s1038" o:spt="202" type="#_x0000_t202" style="position:absolute;left:0pt;margin-left:189pt;margin-top:14.95pt;height:23.4pt;width:90pt;z-index:251717632;mso-width-relative:page;mso-height-relative:page;" coordsize="21600,21600">
                  <v:path/>
                  <v:fill focussize="0,0"/>
                  <v:stroke/>
                  <v:imagedata o:title=""/>
                  <o:lock v:ext="edit" grouping="f" rotation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顾客信息</w:t>
                        </w:r>
                      </w:p>
                    </w:txbxContent>
                  </v:textbox>
                </v:shape>
              </w:pict>
            </w:r>
          </w:p>
          <w:p>
            <w:pPr>
              <w:rPr>
                <w:rFonts w:hint="eastAsia" w:ascii="宋体" w:hAnsi="宋体"/>
                <w:sz w:val="20"/>
                <w:szCs w:val="22"/>
              </w:rPr>
            </w:pPr>
          </w:p>
          <w:p>
            <w:pPr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pict>
                <v:line id="Line 1713" o:spid="_x0000_s1039" o:spt="20" style="position:absolute;left:0pt;margin-left:234pt;margin-top:7.15pt;height:15.6pt;width:0.05pt;z-index:25171865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</w:p>
          <w:p>
            <w:pPr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ascii="宋体" w:hAnsi="宋体"/>
                <w:b/>
                <w:bCs/>
                <w:sz w:val="18"/>
                <w:szCs w:val="22"/>
              </w:rPr>
              <w:pict>
                <v:shape id="Text Box 1704" o:spid="_x0000_s1040" o:spt="202" type="#_x0000_t202" style="position:absolute;left:0pt;margin-left:189pt;margin-top:7.15pt;height:23.4pt;width:90pt;z-index:251715584;mso-width-relative:page;mso-height-relative:page;" coordsize="21600,21600">
                  <v:path/>
                  <v:fill focussize="0,0"/>
                  <v:stroke/>
                  <v:imagedata o:title=""/>
                  <o:lock v:ext="edit" grouping="f" rotation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原材料</w:t>
                        </w:r>
                      </w:p>
                    </w:txbxContent>
                  </v:textbox>
                </v:shape>
              </w:pict>
            </w:r>
          </w:p>
          <w:p>
            <w:pPr>
              <w:rPr>
                <w:rFonts w:hint="eastAsia" w:ascii="宋体" w:hAnsi="宋体"/>
                <w:sz w:val="20"/>
                <w:szCs w:val="22"/>
              </w:rPr>
            </w:pPr>
          </w:p>
          <w:p>
            <w:pPr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pict>
                <v:line id="Line 1714" o:spid="_x0000_s1041" o:spt="20" style="position:absolute;left:0pt;margin-left:234pt;margin-top:-0.65pt;height:15.6pt;width:0.05pt;z-index:25171968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</w:p>
          <w:p>
            <w:pPr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pict>
                <v:shape id="Text Box 1748" o:spid="_x0000_s1042" o:spt="202" type="#_x0000_t202" style="position:absolute;left:0pt;margin-left:189pt;margin-top:0pt;height:23.4pt;width:90pt;z-index:251728896;mso-width-relative:page;mso-height-relative:page;" coordsize="21600,21600">
                  <v:path/>
                  <v:fill focussize="0,0"/>
                  <v:stroke/>
                  <v:imagedata o:title=""/>
                  <o:lock v:ext="edit" grouping="f" rotation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加热拉丝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/>
                <w:sz w:val="20"/>
                <w:szCs w:val="22"/>
              </w:rPr>
              <w:t xml:space="preserve">                                                                       </w:t>
            </w:r>
          </w:p>
          <w:p>
            <w:pPr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pict>
                <v:line id="Line 1747" o:spid="_x0000_s1043" o:spt="20" style="position:absolute;left:0pt;margin-left:234pt;margin-top:7.8pt;height:15.6pt;width:0.05pt;z-index:251727872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sz w:val="20"/>
                <w:szCs w:val="22"/>
              </w:rPr>
              <w:t xml:space="preserve">        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                                                                               </w:t>
            </w:r>
          </w:p>
          <w:p>
            <w:pPr>
              <w:rPr>
                <w:rFonts w:hint="eastAsia" w:ascii="宋体" w:hAnsi="宋体"/>
                <w:sz w:val="16"/>
                <w:szCs w:val="16"/>
              </w:rPr>
            </w:pPr>
            <w:r>
              <w:rPr>
                <w:rFonts w:ascii="宋体" w:hAnsi="宋体"/>
                <w:b/>
                <w:bCs/>
                <w:sz w:val="18"/>
                <w:szCs w:val="22"/>
              </w:rPr>
              <w:pict>
                <v:shape id="Text Box 1749" o:spid="_x0000_s1044" o:spt="202" type="#_x0000_t202" style="position:absolute;left:0pt;margin-left:198pt;margin-top:7.8pt;height:23.4pt;width:72pt;z-index:251729920;mso-width-relative:page;mso-height-relative:page;" coordsize="21600,21600">
                  <v:path/>
                  <v:fill focussize="0,0"/>
                  <v:stroke/>
                  <v:imagedata o:title=""/>
                  <o:lock v:ext="edit" grouping="f" rotation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圆织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/>
                <w:sz w:val="20"/>
                <w:szCs w:val="22"/>
              </w:rPr>
              <w:t xml:space="preserve">        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                                                                     </w:t>
            </w:r>
          </w:p>
          <w:p>
            <w:pPr>
              <w:rPr>
                <w:rFonts w:hint="eastAsia"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 xml:space="preserve">                        </w:t>
            </w:r>
            <w:r>
              <w:rPr>
                <w:rFonts w:hint="eastAsia" w:ascii="宋体" w:hAnsi="宋体"/>
                <w:sz w:val="16"/>
                <w:szCs w:val="16"/>
              </w:rPr>
              <w:t xml:space="preserve">                               </w:t>
            </w:r>
          </w:p>
          <w:p>
            <w:pPr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pict>
                <v:line id="Line 1706" o:spid="_x0000_s1045" o:spt="20" style="position:absolute;left:0pt;margin-left:234pt;margin-top:0pt;height:15.6pt;width:0.05pt;z-index:25171660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sz w:val="20"/>
                <w:szCs w:val="22"/>
              </w:rPr>
              <w:t xml:space="preserve">                        </w:t>
            </w:r>
          </w:p>
          <w:p>
            <w:pPr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ascii="宋体" w:hAnsi="宋体"/>
                <w:b/>
                <w:bCs/>
                <w:sz w:val="18"/>
                <w:szCs w:val="22"/>
              </w:rPr>
              <w:pict>
                <v:shape id="Text Box 1750" o:spid="_x0000_s1046" o:spt="202" type="#_x0000_t202" style="position:absolute;left:0pt;margin-left:198pt;margin-top:0pt;height:23.4pt;width:72pt;z-index:251730944;mso-width-relative:page;mso-height-relative:page;" coordsize="21600,21600">
                  <v:path/>
                  <v:fill focussize="0,0"/>
                  <v:stroke/>
                  <v:imagedata o:title=""/>
                  <o:lock v:ext="edit" grouping="f" rotation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复膜</w:t>
                        </w:r>
                        <w:r>
                          <w:rPr>
                            <w:rFonts w:hint="eastAsia" w:ascii="宋体" w:hAnsi="宋体"/>
                            <w:b/>
                          </w:rPr>
                          <w:t>▲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w:pict>
            </w:r>
          </w:p>
          <w:p>
            <w:pPr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pict>
                <v:line id="Line 1730" o:spid="_x0000_s1047" o:spt="20" style="position:absolute;left:0pt;margin-left:234pt;margin-top:7.8pt;height:15.6pt;width:0.05pt;z-index:25172172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  <w:sz w:val="20"/>
                <w:szCs w:val="22"/>
              </w:rPr>
              <w:t xml:space="preserve">                          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pict>
                <v:shape id="Text Box 1700" o:spid="_x0000_s1048" o:spt="202" type="#_x0000_t202" style="position:absolute;left:0pt;margin-left:198pt;margin-top:7.8pt;height:23.4pt;width:72pt;z-index:251713536;mso-width-relative:page;mso-height-relative:page;" coordsize="21600,21600">
                  <v:path/>
                  <v:fill focussize="0,0"/>
                  <v:stroke/>
                  <v:imagedata o:title=""/>
                  <o:lock v:ext="edit" grouping="f" rotation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切印</w:t>
                        </w:r>
                      </w:p>
                    </w:txbxContent>
                  </v:textbox>
                </v:shape>
              </w:pict>
            </w:r>
          </w:p>
          <w:p>
            <w:pPr>
              <w:jc w:val="center"/>
              <w:rPr>
                <w:rFonts w:hint="eastAsia" w:ascii="宋体" w:hAnsi="宋体"/>
                <w:sz w:val="20"/>
                <w:szCs w:val="22"/>
              </w:rPr>
            </w:pPr>
          </w:p>
          <w:p>
            <w:pPr>
              <w:jc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pict>
                <v:line id="Line 1752" o:spid="_x0000_s1049" o:spt="20" style="position:absolute;left:0pt;margin-left:234pt;margin-top:0pt;height:15.6pt;width:0.05pt;z-index:251731968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</w:p>
          <w:p>
            <w:pPr>
              <w:jc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pict>
                <v:shape id="Text Box 1701" o:spid="_x0000_s1050" o:spt="202" type="#_x0000_t202" style="position:absolute;left:0pt;margin-left:198pt;margin-top:0pt;height:23.4pt;width:72pt;z-index:251714560;mso-width-relative:page;mso-height-relative:page;" coordsize="21600,21600">
                  <v:path/>
                  <v:fill focussize="0,0"/>
                  <v:stroke/>
                  <v:imagedata o:title=""/>
                  <o:lock v:ext="edit" grouping="f" rotation="f" text="f" aspectratio="f"/>
                  <v:textbox>
                    <w:txbxContent>
                      <w:p>
                        <w:pPr>
                          <w:ind w:firstLine="420" w:firstLineChars="200"/>
                        </w:pPr>
                        <w:r>
                          <w:t>缝纫</w:t>
                        </w:r>
                      </w:p>
                    </w:txbxContent>
                  </v:textbox>
                </v:shape>
              </w:pict>
            </w:r>
          </w:p>
          <w:p>
            <w:pPr>
              <w:jc w:val="center"/>
              <w:rPr>
                <w:rFonts w:hint="eastAsia"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pict>
                <v:line id="Line 1738" o:spid="_x0000_s1051" o:spt="20" style="position:absolute;left:0pt;margin-left:234pt;margin-top:7.8pt;height:15.6pt;width:0.05pt;z-index:251723776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ascii="宋体" w:hAnsi="宋体"/>
                <w:b/>
                <w:bCs/>
                <w:sz w:val="20"/>
              </w:rPr>
              <w:pict>
                <v:shape id="Text Box 1737" o:spid="_x0000_s1052" o:spt="202" type="#_x0000_t202" style="position:absolute;left:0pt;margin-left:198pt;margin-top:7.8pt;height:23.4pt;width:72pt;z-index:251722752;mso-width-relative:page;mso-height-relative:page;" coordsize="21600,21600">
                  <v:path/>
                  <v:fill focussize="0,0"/>
                  <v:stroke/>
                  <v:imagedata o:title=""/>
                  <o:lock v:ext="edit" grouping="f" rotation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检验</w:t>
                        </w:r>
                      </w:p>
                      <w:p/>
                    </w:txbxContent>
                  </v:textbox>
                </v:shape>
              </w:pict>
            </w:r>
            <w:r>
              <w:rPr>
                <w:rFonts w:hint="eastAsia" w:ascii="宋体" w:hAnsi="宋体"/>
              </w:rPr>
              <w:pict>
                <v:line id="Line 1715" o:spid="_x0000_s1053" o:spt="20" style="position:absolute;left:0pt;margin-left:234pt;margin-top:14.95pt;height:15.6pt;width:0.05pt;z-index:25172070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</w:rPr>
              <w:t xml:space="preserve">                                         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</w: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pict>
                <v:line id="Line 1743" o:spid="_x0000_s1054" o:spt="20" style="position:absolute;left:0pt;margin-left:234pt;margin-top:7.8pt;height:15.6pt;width:0.05pt;z-index:251725824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  <w:r>
              <w:rPr>
                <w:rFonts w:hint="eastAsia" w:ascii="宋体" w:hAnsi="宋体"/>
              </w:rPr>
              <w:t xml:space="preserve">                                   </w:t>
            </w:r>
          </w:p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pict>
                <v:shape id="Text Box 1744" o:spid="_x0000_s1055" o:spt="202" type="#_x0000_t202" style="position:absolute;left:0pt;margin-left:198pt;margin-top:7.8pt;height:23.4pt;width:72pt;z-index:251726848;mso-width-relative:page;mso-height-relative:page;" coordsize="21600,21600">
                  <v:path/>
                  <v:fill focussize="0,0"/>
                  <v:stroke/>
                  <v:imagedata o:title=""/>
                  <o:lock v:ext="edit" grouping="f" rotation="f" text="f" aspectratio="f"/>
                  <v:textbox>
                    <w:txbxContent>
                      <w:p>
                        <w:pPr>
                          <w:ind w:firstLine="210" w:firstLineChars="100"/>
                        </w:pPr>
                        <w:r>
                          <w:rPr>
                            <w:rFonts w:hint="eastAsia"/>
                          </w:rPr>
                          <w:t>入库</w:t>
                        </w:r>
                      </w:p>
                      <w:p>
                        <w:pPr>
                          <w:ind w:firstLine="210" w:firstLineChars="100"/>
                        </w:pPr>
                      </w:p>
                    </w:txbxContent>
                  </v:textbox>
                </v:shape>
              </w:pict>
            </w: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/>
              </w:rPr>
              <w:pict>
                <v:line id="Line 1741" o:spid="_x0000_s1056" o:spt="20" style="position:absolute;left:0pt;margin-left:234pt;margin-top:0pt;height:15.6pt;width:0.05pt;z-index:251724800;mso-width-relative:page;mso-height-relative:page;" filled="f" coordsize="21600,21600">
                  <v:path arrowok="t"/>
                  <v:fill on="f" focussize="0,0"/>
                  <v:stroke endarrow="block"/>
                  <v:imagedata o:title=""/>
                  <o:lock v:ext="edit" grouping="f" rotation="f" text="f" aspectratio="f"/>
                </v:line>
              </w:pict>
            </w:r>
          </w:p>
          <w:p>
            <w:pPr>
              <w:ind w:firstLine="210" w:firstLineChars="100"/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kern w:val="2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eastAsia"/>
                <w:kern w:val="2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提供了法律、法规和其他要求清单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</w:t>
            </w:r>
            <w:r>
              <w:rPr>
                <w:rFonts w:hint="eastAsia" w:ascii="宋体" w:hAnsi="宋体" w:cs="宋体"/>
                <w:kern w:val="0"/>
                <w:szCs w:val="21"/>
              </w:rPr>
              <w:t>供《适用的法律法规清单》、提供了《外来文件情况清单》</w:t>
            </w:r>
          </w:p>
          <w:p>
            <w:pPr>
              <w:pStyle w:val="16"/>
            </w:pPr>
            <w:r>
              <w:rPr>
                <w:rFonts w:hint="eastAsia" w:ascii="宋体" w:hAnsi="宋体" w:cs="宋体"/>
                <w:kern w:val="0"/>
                <w:szCs w:val="21"/>
              </w:rPr>
              <w:t>“外来文件清单”提供了与</w:t>
            </w:r>
            <w:r>
              <w:t>塑料编织袋</w:t>
            </w:r>
            <w:r>
              <w:rPr>
                <w:rFonts w:hint="eastAsia" w:ascii="宋体" w:hAnsi="宋体" w:cs="宋体"/>
                <w:kern w:val="0"/>
                <w:szCs w:val="21"/>
              </w:rPr>
              <w:t>产品相关的法律法规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/>
                <w:sz w:val="21"/>
                <w:szCs w:val="21"/>
              </w:rPr>
              <w:t>荆门万千塑业有限责任公司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年产4000万米</w:t>
            </w:r>
            <w:r>
              <w:t>塑料编织袋</w:t>
            </w:r>
            <w:r>
              <w:rPr>
                <w:rFonts w:hint="eastAsia"/>
                <w:lang w:val="en-US" w:eastAsia="zh-CN"/>
              </w:rPr>
              <w:t>生产项目</w:t>
            </w:r>
            <w:r>
              <w:rPr>
                <w:rFonts w:hint="eastAsia"/>
                <w:szCs w:val="21"/>
                <w:lang w:val="en-US" w:eastAsia="zh-CN"/>
              </w:rPr>
              <w:t>环境影响报告表、沙洋县环境保护局沙环函(2015)11号《关于</w:t>
            </w:r>
            <w:r>
              <w:rPr>
                <w:rFonts w:hint="eastAsia" w:ascii="宋体" w:hAnsi="宋体"/>
                <w:sz w:val="21"/>
                <w:szCs w:val="21"/>
              </w:rPr>
              <w:t>荆门万千塑业有限责任公司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年产4000万米</w:t>
            </w:r>
            <w:r>
              <w:t>塑料编织袋</w:t>
            </w:r>
            <w:r>
              <w:rPr>
                <w:rFonts w:hint="eastAsia"/>
                <w:lang w:val="en-US" w:eastAsia="zh-CN"/>
              </w:rPr>
              <w:t>生产项目</w:t>
            </w:r>
            <w:r>
              <w:rPr>
                <w:rFonts w:hint="eastAsia"/>
                <w:szCs w:val="21"/>
                <w:lang w:val="en-US" w:eastAsia="zh-CN"/>
              </w:rPr>
              <w:t>环境影响报告表的批复》、沙洋县环境保护局沙环验字(2016)6号《关于</w:t>
            </w:r>
            <w:r>
              <w:rPr>
                <w:rFonts w:hint="eastAsia" w:ascii="宋体" w:hAnsi="宋体"/>
                <w:sz w:val="21"/>
                <w:szCs w:val="21"/>
              </w:rPr>
              <w:t>荆门万千塑业有限责任公司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年产4000万米</w:t>
            </w:r>
            <w:r>
              <w:t>塑料编织袋</w:t>
            </w:r>
            <w:r>
              <w:rPr>
                <w:rFonts w:hint="eastAsia"/>
                <w:lang w:val="en-US" w:eastAsia="zh-CN"/>
              </w:rPr>
              <w:t>生产项目竣工</w:t>
            </w:r>
            <w:r>
              <w:rPr>
                <w:rFonts w:hint="eastAsia"/>
                <w:szCs w:val="21"/>
                <w:lang w:val="en-US" w:eastAsia="zh-CN"/>
              </w:rPr>
              <w:t>环境保护验收合格的函》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提供荆门市环境保护监测站建设项目竣工环境保护验收监测报告表，报告日期：2016年1月。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相关方投诉情况：无。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公司的质量、环境和职业健康安全的方针：</w:t>
            </w: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  <w:t>持续提升产品质量      全力满足顾客要求</w:t>
            </w:r>
          </w:p>
          <w:p>
            <w:pPr>
              <w:pStyle w:val="3"/>
              <w:spacing w:line="500" w:lineRule="exact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  <w:t>倡导绿色环保思想    树立良好企业形象</w:t>
            </w:r>
          </w:p>
          <w:p>
            <w:pPr>
              <w:pStyle w:val="2"/>
              <w:ind w:left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</w:rPr>
              <w:t>完善自身环境行为    保护环境造福人类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1"/>
                <w:szCs w:val="21"/>
                <w:lang w:val="en-US" w:eastAsia="zh-CN"/>
              </w:rPr>
              <w:t>安全第一  预防为主   全员参与   遵纪守法</w:t>
            </w:r>
            <w:r>
              <w:rPr>
                <w:rFonts w:hint="eastAsia"/>
                <w:sz w:val="24"/>
                <w:szCs w:val="24"/>
              </w:rPr>
              <w:t>管理目标：</w:t>
            </w:r>
          </w:p>
          <w:p>
            <w:pPr>
              <w:spacing w:line="360" w:lineRule="auto"/>
              <w:rPr>
                <w:rFonts w:ascii="宋体"/>
                <w:szCs w:val="21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目标：</w:t>
            </w:r>
          </w:p>
          <w:p>
            <w:pPr>
              <w:spacing w:line="60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产品一次交检合格率≧98%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产品出厂合格率  100%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合同履行率  100%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顾客满意度≧90%</w:t>
            </w:r>
          </w:p>
          <w:p>
            <w:pPr>
              <w:widowControl/>
              <w:autoSpaceDE w:val="0"/>
              <w:autoSpaceDN w:val="0"/>
              <w:adjustRightInd w:val="0"/>
              <w:spacing w:before="76"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生产中噪声、污水和气体达到零排放；生产产生的固体废物，100%回用。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员工体检覆盖率100%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提供了本公司的环境和安全管理方案和控制措施，有编制人、审批人签字，二阶段进行进一步关注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年</w:t>
            </w:r>
            <w:r>
              <w:rPr>
                <w:rFonts w:hint="eastAsia"/>
                <w:color w:val="000000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月</w:t>
            </w:r>
            <w:r>
              <w:rPr>
                <w:rFonts w:hint="eastAsia"/>
                <w:color w:val="000000"/>
                <w:kern w:val="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日对适用的法律法规符合性进行了评价，提供了</w:t>
            </w:r>
            <w:r>
              <w:rPr>
                <w:color w:val="000000"/>
                <w:kern w:val="2"/>
                <w:sz w:val="21"/>
                <w:szCs w:val="21"/>
              </w:rPr>
              <w:t>20</w:t>
            </w:r>
            <w:r>
              <w:rPr>
                <w:rFonts w:hint="eastAsia"/>
                <w:color w:val="000000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年合规性评价记录。</w:t>
            </w: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FF0000"/>
                <w:kern w:val="2"/>
                <w:sz w:val="21"/>
                <w:szCs w:val="21"/>
              </w:rPr>
            </w:pPr>
          </w:p>
          <w:p>
            <w:pPr>
              <w:pStyle w:val="6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提供了“重要环境因素清单”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能源的消耗</w:t>
            </w:r>
            <w:r>
              <w:t xml:space="preserve">    2.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噪声排放</w:t>
            </w:r>
          </w:p>
          <w:p>
            <w:pPr>
              <w:rPr>
                <w:rFonts w:hint="default" w:eastAsia="新宋体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新宋体" w:hAnsi="新宋体" w:eastAsia="新宋体"/>
                <w:szCs w:val="21"/>
              </w:rPr>
              <w:t>潜在火灾</w:t>
            </w:r>
            <w:r>
              <w:rPr>
                <w:rFonts w:ascii="新宋体" w:hAnsi="新宋体" w:eastAsia="新宋体"/>
                <w:szCs w:val="21"/>
              </w:rPr>
              <w:t xml:space="preserve">    4</w:t>
            </w:r>
            <w:r>
              <w:rPr>
                <w:rFonts w:hint="eastAsia" w:ascii="新宋体" w:hAnsi="新宋体" w:eastAsia="新宋体"/>
                <w:szCs w:val="21"/>
              </w:rPr>
              <w:t>、固体废物排放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5、废气的排放</w:t>
            </w:r>
          </w:p>
          <w:p>
            <w:r>
              <w:rPr>
                <w:rFonts w:hint="eastAsia"/>
              </w:rPr>
              <w:t>提供了“不可接受风险清单”</w:t>
            </w:r>
          </w:p>
          <w:p>
            <w:pPr>
              <w:numPr>
                <w:ilvl w:val="0"/>
                <w:numId w:val="2"/>
              </w:numPr>
              <w:rPr>
                <w:rFonts w:hint="default" w:eastAsia="宋体"/>
                <w:bCs/>
                <w:spacing w:val="10"/>
                <w:lang w:val="en-US" w:eastAsia="zh-CN"/>
              </w:rPr>
            </w:pPr>
            <w:r>
              <w:rPr>
                <w:rFonts w:hint="eastAsia"/>
              </w:rPr>
              <w:t>机械伤害</w:t>
            </w:r>
            <w:r>
              <w:t xml:space="preserve">   </w:t>
            </w:r>
            <w:r>
              <w:rPr>
                <w:bCs/>
                <w:spacing w:val="10"/>
              </w:rPr>
              <w:t xml:space="preserve"> </w:t>
            </w:r>
            <w:r>
              <w:rPr>
                <w:rFonts w:hint="eastAsia"/>
                <w:bCs/>
                <w:spacing w:val="10"/>
                <w:lang w:val="en-US" w:eastAsia="zh-CN"/>
              </w:rPr>
              <w:t>2</w:t>
            </w:r>
            <w:r>
              <w:rPr>
                <w:rFonts w:hint="eastAsia"/>
                <w:bCs/>
                <w:spacing w:val="10"/>
              </w:rPr>
              <w:t>．</w:t>
            </w:r>
            <w:r>
              <w:rPr>
                <w:rFonts w:hint="eastAsia" w:ascii="宋体" w:hAnsi="宋体"/>
                <w:sz w:val="20"/>
              </w:rPr>
              <w:t>职业病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 xml:space="preserve">   3.火灾爆炸   4.触电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9.6-7</w:t>
            </w:r>
            <w:r>
              <w:rPr>
                <w:rFonts w:hint="eastAsia"/>
                <w:szCs w:val="21"/>
              </w:rPr>
              <w:t>进行一次内审，提供了内审计划、内审记录、不符合报告、内审报告等，发现了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项不符合项，具体内容，二阶段进一步审核。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20.9.28</w:t>
            </w:r>
            <w:r>
              <w:rPr>
                <w:rFonts w:hint="eastAsia"/>
                <w:szCs w:val="21"/>
              </w:rPr>
              <w:t>召开了管理评审会议，由总经理主持。提供管理评审报告，具体内容，二阶段进一步审核。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color w:val="FF0000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储气罐、安全阀、压力表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集气罩、化粪池等，主要设备：塑料扁丝拉丝机、塑料扁丝收卷机、编织袋自动切缝机、编织袋凸版印刷机、高低压吹膜机、高压清洗机、螺旋输送机、烘干机、圆织机、切袋机、三色印刷机、塑料涂膜复合机组、塑料粉碎机、自动上料机、干燥搅拌机、自动打包机、自动切粒机、水处理系统等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bookmarkStart w:id="3" w:name="_GoBack"/>
            <w:bookmarkEnd w:id="3"/>
          </w:p>
          <w:p>
            <w:pPr>
              <w:pStyle w:val="16"/>
              <w:rPr>
                <w:szCs w:val="21"/>
              </w:rPr>
            </w:pPr>
          </w:p>
          <w:p>
            <w:pPr>
              <w:rPr>
                <w:rFonts w:ascii="宋体"/>
                <w:spacing w:val="20"/>
                <w:szCs w:val="21"/>
                <w:lang w:val="de-DE"/>
              </w:rPr>
            </w:pPr>
            <w:r>
              <w:rPr>
                <w:rFonts w:hint="eastAsia"/>
                <w:szCs w:val="21"/>
              </w:rPr>
              <w:t>经询问，</w:t>
            </w:r>
            <w:bookmarkStart w:id="1" w:name="组织名称"/>
            <w:r>
              <w:rPr>
                <w:sz w:val="21"/>
                <w:szCs w:val="21"/>
              </w:rPr>
              <w:t>荆门市万千塑业有限责任公司</w:t>
            </w:r>
            <w:bookmarkEnd w:id="1"/>
            <w:r>
              <w:rPr>
                <w:rFonts w:hint="eastAsia" w:ascii="宋体" w:hAnsi="宋体"/>
                <w:spacing w:val="20"/>
                <w:szCs w:val="21"/>
                <w:lang w:val="de-DE"/>
              </w:rPr>
              <w:t>于</w:t>
            </w:r>
            <w:r>
              <w:rPr>
                <w:rFonts w:ascii="宋体" w:hAnsi="宋体"/>
                <w:spacing w:val="20"/>
                <w:szCs w:val="21"/>
              </w:rPr>
              <w:t>200</w:t>
            </w: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pacing w:val="20"/>
                <w:szCs w:val="21"/>
                <w:lang w:val="de-DE"/>
              </w:rPr>
              <w:t>年注册成立。</w:t>
            </w: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>是一家</w:t>
            </w:r>
            <w:r>
              <w:rPr>
                <w:rFonts w:hint="eastAsia" w:ascii="宋体" w:hAnsi="宋体"/>
                <w:sz w:val="21"/>
                <w:szCs w:val="21"/>
              </w:rPr>
              <w:t>投资5000多万元年生产能力达5000条编织袋的生产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企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pacing w:val="20"/>
                <w:szCs w:val="21"/>
                <w:lang w:val="de-DE"/>
              </w:rPr>
              <w:t>注册地位于</w:t>
            </w:r>
            <w:bookmarkStart w:id="2" w:name="注册地址"/>
            <w:r>
              <w:t>荆门</w:t>
            </w:r>
            <w:bookmarkEnd w:id="2"/>
            <w:r>
              <w:rPr>
                <w:rFonts w:hint="eastAsia" w:ascii="宋体" w:hAnsi="宋体"/>
                <w:sz w:val="21"/>
                <w:szCs w:val="21"/>
              </w:rPr>
              <w:t>沙洋县219省道、沈集镇荆潜路1号</w:t>
            </w:r>
            <w:r>
              <w:rPr>
                <w:rFonts w:hint="eastAsia" w:ascii="宋体" w:hAnsi="宋体"/>
                <w:spacing w:val="20"/>
                <w:szCs w:val="21"/>
                <w:lang w:val="de-DE"/>
              </w:rPr>
              <w:t>，占地面积</w:t>
            </w: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>10000</w:t>
            </w:r>
            <w:r>
              <w:rPr>
                <w:rFonts w:hint="eastAsia" w:ascii="宋体" w:hAnsi="宋体"/>
                <w:spacing w:val="20"/>
                <w:szCs w:val="21"/>
                <w:lang w:val="de-DE"/>
              </w:rPr>
              <w:t>平方米，</w:t>
            </w:r>
            <w:r>
              <w:rPr>
                <w:rFonts w:hint="eastAsia" w:ascii="宋体" w:hAnsi="宋体"/>
                <w:spacing w:val="20"/>
                <w:szCs w:val="21"/>
                <w:lang w:val="en-US" w:eastAsia="zh-CN"/>
              </w:rPr>
              <w:t>企业实际人数为50人。</w:t>
            </w:r>
            <w:r>
              <w:rPr>
                <w:rFonts w:hint="eastAsia" w:ascii="宋体" w:hAnsi="宋体"/>
                <w:szCs w:val="21"/>
              </w:rPr>
              <w:t>具备二阶段审核的条件</w:t>
            </w:r>
          </w:p>
        </w:tc>
        <w:tc>
          <w:tcPr>
            <w:tcW w:w="993" w:type="dxa"/>
          </w:tcPr>
          <w:p/>
        </w:tc>
      </w:tr>
    </w:tbl>
    <w:p/>
    <w:p>
      <w:pPr>
        <w:pStyle w:val="5"/>
      </w:pPr>
      <w:r>
        <w:rPr>
          <w:rFonts w:hint="eastAsia"/>
        </w:rPr>
        <w:t>说明：不符合标注</w:t>
      </w:r>
      <w:r>
        <w:t>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4</w:t>
    </w:r>
    <w:r>
      <w:rPr>
        <w:b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4"/>
        <w:rFonts w:hint="eastAsia"/>
      </w:rPr>
      <w:t>北京国标联合认证有限公司</w:t>
    </w:r>
    <w:r>
      <w:rPr>
        <w:rStyle w:val="14"/>
      </w:rPr>
      <w:tab/>
    </w:r>
    <w:r>
      <w:rPr>
        <w:rStyle w:val="14"/>
      </w:rPr>
      <w:tab/>
    </w:r>
    <w:r>
      <w:rPr>
        <w:rStyle w:val="14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554.75pt;margin-top:2.2pt;height:20.2pt;width:172pt;z-index:251657216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t>ISC-</w:t>
                </w:r>
                <w:r>
                  <w:rPr>
                    <w:sz w:val="18"/>
                    <w:szCs w:val="18"/>
                  </w:rPr>
                  <w:t>B-I-13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14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C269F2"/>
    <w:multiLevelType w:val="singleLevel"/>
    <w:tmpl w:val="B6C269F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35235A9"/>
    <w:multiLevelType w:val="singleLevel"/>
    <w:tmpl w:val="335235A9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CD4"/>
    <w:rsid w:val="0003373A"/>
    <w:rsid w:val="000750A3"/>
    <w:rsid w:val="000B51BD"/>
    <w:rsid w:val="000D7556"/>
    <w:rsid w:val="000E7E79"/>
    <w:rsid w:val="00104223"/>
    <w:rsid w:val="00137E98"/>
    <w:rsid w:val="001C4B29"/>
    <w:rsid w:val="001D74C0"/>
    <w:rsid w:val="001E6D15"/>
    <w:rsid w:val="00252F13"/>
    <w:rsid w:val="002F7AFB"/>
    <w:rsid w:val="0031565A"/>
    <w:rsid w:val="00321D03"/>
    <w:rsid w:val="00390345"/>
    <w:rsid w:val="003A47B7"/>
    <w:rsid w:val="003B4D0F"/>
    <w:rsid w:val="003C24FE"/>
    <w:rsid w:val="0040057D"/>
    <w:rsid w:val="00425538"/>
    <w:rsid w:val="0047664B"/>
    <w:rsid w:val="004C3B65"/>
    <w:rsid w:val="004C773A"/>
    <w:rsid w:val="004E2167"/>
    <w:rsid w:val="00502D2F"/>
    <w:rsid w:val="00585FA5"/>
    <w:rsid w:val="005B4A20"/>
    <w:rsid w:val="005E23A2"/>
    <w:rsid w:val="00610CCF"/>
    <w:rsid w:val="006250B7"/>
    <w:rsid w:val="007242C9"/>
    <w:rsid w:val="0076102F"/>
    <w:rsid w:val="007620A1"/>
    <w:rsid w:val="007757F3"/>
    <w:rsid w:val="007F3A40"/>
    <w:rsid w:val="008200F8"/>
    <w:rsid w:val="00824194"/>
    <w:rsid w:val="008512D6"/>
    <w:rsid w:val="00871C15"/>
    <w:rsid w:val="008766EC"/>
    <w:rsid w:val="00894CD4"/>
    <w:rsid w:val="008973EE"/>
    <w:rsid w:val="008D6697"/>
    <w:rsid w:val="009178F7"/>
    <w:rsid w:val="00923997"/>
    <w:rsid w:val="009560D2"/>
    <w:rsid w:val="00A13B89"/>
    <w:rsid w:val="00B65520"/>
    <w:rsid w:val="00BB1088"/>
    <w:rsid w:val="00BF6E5F"/>
    <w:rsid w:val="00C6490B"/>
    <w:rsid w:val="00C67073"/>
    <w:rsid w:val="00C819D2"/>
    <w:rsid w:val="00C917F5"/>
    <w:rsid w:val="00C93EF5"/>
    <w:rsid w:val="00CA303E"/>
    <w:rsid w:val="00CA4B74"/>
    <w:rsid w:val="00D23F98"/>
    <w:rsid w:val="00D27057"/>
    <w:rsid w:val="00D471D9"/>
    <w:rsid w:val="00D72E37"/>
    <w:rsid w:val="00D963BF"/>
    <w:rsid w:val="00DB5DCA"/>
    <w:rsid w:val="00DF7245"/>
    <w:rsid w:val="00E23AF7"/>
    <w:rsid w:val="00EA6B06"/>
    <w:rsid w:val="00EA6E0E"/>
    <w:rsid w:val="00EF28F3"/>
    <w:rsid w:val="00F33E4E"/>
    <w:rsid w:val="00F5310D"/>
    <w:rsid w:val="1D176DAA"/>
    <w:rsid w:val="3011705D"/>
    <w:rsid w:val="54E4384D"/>
    <w:rsid w:val="5A1B368A"/>
    <w:rsid w:val="6BEC493E"/>
    <w:rsid w:val="6FC81F8B"/>
    <w:rsid w:val="7A87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ind w:left="420"/>
      <w:outlineLvl w:val="1"/>
    </w:pPr>
    <w:rPr>
      <w:sz w:val="28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alloon Text"/>
    <w:basedOn w:val="1"/>
    <w:link w:val="11"/>
    <w:semiHidden/>
    <w:uiPriority w:val="99"/>
    <w:rPr>
      <w:kern w:val="0"/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8">
    <w:name w:val="Table Grid"/>
    <w:basedOn w:val="7"/>
    <w:qFormat/>
    <w:locked/>
    <w:uiPriority w:val="99"/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99"/>
    <w:rPr>
      <w:rFonts w:cs="Times New Roman"/>
      <w:b/>
    </w:rPr>
  </w:style>
  <w:style w:type="character" w:customStyle="1" w:styleId="11">
    <w:name w:val="Balloon Text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2">
    <w:name w:val="Footer Char"/>
    <w:basedOn w:val="9"/>
    <w:link w:val="5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3">
    <w:name w:val="Header Char"/>
    <w:basedOn w:val="9"/>
    <w:link w:val="6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4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5">
    <w:name w:val="Char Char"/>
    <w:qFormat/>
    <w:locked/>
    <w:uiPriority w:val="99"/>
    <w:rPr>
      <w:rFonts w:eastAsia="宋体"/>
      <w:kern w:val="2"/>
      <w:sz w:val="18"/>
      <w:lang w:val="en-US" w:eastAsia="zh-CN"/>
    </w:rPr>
  </w:style>
  <w:style w:type="paragraph" w:customStyle="1" w:styleId="16">
    <w:name w:val="表格文字"/>
    <w:basedOn w:val="1"/>
    <w:qFormat/>
    <w:uiPriority w:val="99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272</Words>
  <Characters>1551</Characters>
  <Lines>0</Lines>
  <Paragraphs>0</Paragraphs>
  <TotalTime>22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伍光华</cp:lastModifiedBy>
  <dcterms:modified xsi:type="dcterms:W3CDTF">2020-12-21T07:18:09Z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