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重庆鸿安包装制品有限公司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0670-2020-Q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91500227331611463N</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auto"/>
                <w:szCs w:val="21"/>
              </w:rPr>
            </w:pPr>
            <w:r>
              <w:rPr>
                <w:rFonts w:hint="eastAsia"/>
                <w:color w:val="auto"/>
                <w:szCs w:val="21"/>
              </w:rPr>
              <w:t>提供认证范围管理体系覆盖的人数（管理人数、临时工、季节工）</w:t>
            </w:r>
            <w:r>
              <w:rPr>
                <w:rFonts w:hint="eastAsia"/>
                <w:color w:val="auto"/>
                <w:szCs w:val="21"/>
                <w:lang w:val="en-US" w:eastAsia="zh-CN"/>
              </w:rPr>
              <w:t>13</w:t>
            </w:r>
            <w:r>
              <w:rPr>
                <w:rFonts w:hint="eastAsia"/>
                <w:color w:val="auto"/>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FF"/>
              </w:rPr>
            </w:pPr>
            <w:r>
              <w:rPr>
                <w:rFonts w:hint="eastAsia"/>
                <w:color w:val="0000FF"/>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auto"/>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val="en-US" w:eastAsia="zh-CN"/>
              </w:rPr>
              <w:t>立即安排送检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w:t>
            </w:r>
            <w:r>
              <w:rPr>
                <w:rFonts w:hint="eastAsia"/>
                <w:color w:val="000000"/>
                <w:szCs w:val="21"/>
                <w:lang w:val="en-US" w:eastAsia="zh-CN"/>
              </w:rPr>
              <w:t>立即安排送检</w:t>
            </w:r>
            <w:r>
              <w:rPr>
                <w:rFonts w:hint="eastAsia"/>
                <w:color w:val="000000"/>
                <w:szCs w:val="21"/>
              </w:rPr>
              <w:t>）</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FF"/>
              </w:rPr>
            </w:pPr>
            <w:bookmarkStart w:id="2" w:name="_GoBack" w:colFirst="1" w:colLast="2"/>
            <w:r>
              <w:rPr>
                <w:rFonts w:hint="eastAsia"/>
                <w:color w:val="0000FF"/>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auto"/>
                <w:szCs w:val="21"/>
              </w:rPr>
            </w:pPr>
            <w:r>
              <w:rPr>
                <w:rFonts w:hint="eastAsia"/>
                <w:color w:val="auto"/>
                <w:szCs w:val="21"/>
              </w:rPr>
              <w:t>停用特种设备的管理</w:t>
            </w:r>
          </w:p>
        </w:tc>
        <w:tc>
          <w:tcPr>
            <w:tcW w:w="2814" w:type="dxa"/>
          </w:tcPr>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p>
            <w:pPr>
              <w:rPr>
                <w:color w:val="auto"/>
                <w:szCs w:val="21"/>
              </w:rPr>
            </w:pPr>
            <w:r>
              <w:rPr>
                <w:rFonts w:hint="eastAsia"/>
                <w:color w:val="auto"/>
                <w:szCs w:val="21"/>
              </w:rPr>
              <w:t>符合</w:t>
            </w:r>
          </w:p>
          <w:p>
            <w:pPr>
              <w:rPr>
                <w:color w:val="auto"/>
                <w:szCs w:val="21"/>
              </w:rPr>
            </w:pPr>
            <w:r>
              <w:rPr>
                <w:rFonts w:hint="eastAsia"/>
                <w:color w:val="auto"/>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4044315</wp:posOffset>
                  </wp:positionH>
                  <wp:positionV relativeFrom="paragraph">
                    <wp:posOffset>37465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日期：2020年11月30日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5B56B2"/>
    <w:rsid w:val="69526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2020-12-04T06:44:15Z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