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宣汉县兴旺食品有限公司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陈治燃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03.01.03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腊肉制品：选料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解冻（或不解冻）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分割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漂洗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配料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腌制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熏烤或低温晾制（风干）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冷却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包装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香辣肉制品：原料（腊肉制品）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选料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浸泡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斩拌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煮制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过油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调味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包装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灭菌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2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川味即食肉制品：配料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熬制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预煮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浸泡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烧煮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酱制（卤制）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配料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炒制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→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杀菌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生产过程风险：真菌毒素、污染物、农药残留、兽药残留、食品添加剂等。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控制措施：严格按照标准GB 2761、GB 2762、GB 2763、农业部公告【2002】第235号《动物性食品兽药最高残留限量》和国家有关规定、GB 2761等执行。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特殊过程的控制：熏烤或低温晾制（风干）是特殊过程，在这个过程中要严格按照章程执行，以确保产品质量，并且出厂检验每次在每批中随机抽取不少于1kg（不少于2个最小销售包装）的成品进行检测，样品分为两份，一份作为检验样品，一份作为备样样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Times New Roman"/>
                <w:szCs w:val="21"/>
              </w:rPr>
              <w:t>中华人民共和国消费者权益法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国家质量监督检验检疫总局令【2005】第75号《定量包装商品计量监督管理办法》、 国家质量监督检验检疫总局令【2009】第123号《食品标识管理规定》 、中华人民共和国农业部公告【2002】第235号《动物性食品兽药最高残留限量》</w:t>
            </w:r>
            <w:r>
              <w:rPr>
                <w:rFonts w:hint="eastAsia" w:ascii="宋体" w:hAnsi="宋体" w:cs="Times New Roman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腌腊肉制品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Q/XXN0001S-2020；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香辣肉制品Q/XXN0002S-2017；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川味即食肉制品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Q/XXN0003S-2019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1886.11 食品安全国家标准 食品添加剂 亚硝酸钠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2707 食品安全国家标准 鲜（冻）畜、禽产品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2720 食品安全国家标准 味精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2760 食品安全国家标准 食品添加剂使用标准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2761 食品安全国家标准 食品中真菌毒素限量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2762 食品安全国家标准 食品中污染物限量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2763 食品安全国家标准 食品中农药最大残留限量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5009.3 食品安全国家标准 食品中水分的测定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5009.11 食品安全国家标准 食品中总砷及无机砷的测定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5009.12 食品安全国家标准 食品中铅的测定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5009.15 食品安全国家标准 食品中镉的测定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5009.26 食品安全国家标准 食品中 N-亚硝胺类化合物的测定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5009.27 食品安全国家标准 食品中苯并 (a) 芘的测定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5009.33 食品安全国家标准 食品中亚硝酸盐和硝酸盐的测定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5009.44 食品安全国家标准 食品中氯化物的测定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5009.123 食品安全国家标准 食品中铬的测定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5009.227 食品安全国家标准 食品中过氧化值的测定 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GB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25547</w:t>
            </w:r>
            <w:r>
              <w:rPr>
                <w:color w:val="000000"/>
                <w:spacing w:val="0"/>
                <w:w w:val="100"/>
                <w:position w:val="0"/>
              </w:rPr>
              <w:t>食品安全国家标准食品添加剂脱氢乙酸钠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GB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25557</w:t>
            </w:r>
            <w:r>
              <w:rPr>
                <w:color w:val="000000"/>
                <w:spacing w:val="0"/>
                <w:w w:val="100"/>
                <w:position w:val="0"/>
              </w:rPr>
              <w:t>食品安全国家标准食品添加剂焦磷酸钠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GB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25566</w:t>
            </w:r>
            <w:r>
              <w:rPr>
                <w:color w:val="000000"/>
                <w:spacing w:val="0"/>
                <w:w w:val="100"/>
                <w:position w:val="0"/>
              </w:rPr>
              <w:t>食品安全国家标准食品添加剂三聚磷酸钠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GB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25538</w:t>
            </w:r>
            <w:r>
              <w:rPr>
                <w:color w:val="000000"/>
                <w:spacing w:val="0"/>
                <w:w w:val="100"/>
                <w:position w:val="0"/>
              </w:rPr>
              <w:t>食品安全国家标准食品添加剂双乙酸钠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GB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28050</w:t>
            </w:r>
            <w:r>
              <w:rPr>
                <w:color w:val="000000"/>
                <w:spacing w:val="0"/>
                <w:w w:val="100"/>
                <w:position w:val="0"/>
              </w:rPr>
              <w:t>食品安全国家标准预包装食品营养标签通则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5461 食用盐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5749 生活饮用水卫生标准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7652 八角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7718 食品安全国家标准 预包装食品标签通则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14881 食品安全国家标准 食品生产通用卫生规范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15691 香辛料调味品通用技术条件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22267 整孜然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23183 辣椒粉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 28050 食品安全国家标准 预包装食品营养标签通则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30381 桂皮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GB/T 30391 花椒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JJF 1070 定量包装商品净含量计量检验规则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原材料检验：原辅料入库需经本公司质量检验部门检验合格或索取产品检验合</w:t>
            </w:r>
            <w:r>
              <w:rPr>
                <w:rFonts w:hint="eastAsia"/>
                <w:szCs w:val="22"/>
                <w:lang w:val="en-US" w:eastAsia="zh-CN"/>
              </w:rPr>
              <w:t>格证明后方能入库。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出厂</w:t>
            </w:r>
            <w:bookmarkStart w:id="6" w:name="_GoBack"/>
            <w:bookmarkEnd w:id="6"/>
            <w:r>
              <w:rPr>
                <w:rFonts w:hint="eastAsia"/>
                <w:szCs w:val="22"/>
                <w:lang w:val="en-US" w:eastAsia="zh-CN"/>
              </w:rPr>
              <w:t>检验：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1、产品出厂需经工厂检验部门逐批检验合格，附产品合格证方能出厂。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2、出厂检验项目包括感官要求、水分、食用盐、过氧化值、亚硝酸盐残留量、净含量及允许短缺 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型式检验：见企业标准4.5.2 型式检验抽样应在出厂检验合格批次中随机抽取不少于2kg（不少于4个最小销售包装）的产品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作为检测样品，样品分为两份，一份作为检验样品，一份作为备样样品。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型式试验要求：（见附件企业标准4.3.1）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2020.12.4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-10795</wp:posOffset>
            </wp:positionV>
            <wp:extent cx="817245" cy="323850"/>
            <wp:effectExtent l="0" t="0" r="8255" b="6350"/>
            <wp:wrapSquare wrapText="bothSides"/>
            <wp:docPr id="7" name="图片 7" descr="4490dcd3a4115ad56dab1433710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90dcd3a4115ad56dab143371087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4D3B00"/>
    <w:rsid w:val="1B8A685B"/>
    <w:rsid w:val="257D068D"/>
    <w:rsid w:val="25B76626"/>
    <w:rsid w:val="297F6375"/>
    <w:rsid w:val="29ED6A25"/>
    <w:rsid w:val="6D5B02BF"/>
    <w:rsid w:val="76372810"/>
    <w:rsid w:val="781D2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276" w:lineRule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370"/>
      <w:jc w:val="center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2020-12-13T08:43:11Z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