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tbl>
      <w:tblPr>
        <w:tblStyle w:val="5"/>
        <w:tblpPr w:leftFromText="180" w:rightFromText="180" w:vertAnchor="text" w:horzAnchor="page" w:tblpX="702" w:tblpY="436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0" w:name="Q勾选"/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1" w:name="组织名称"/>
            <w:r>
              <w:rPr>
                <w:b/>
                <w:sz w:val="21"/>
                <w:szCs w:val="21"/>
              </w:rPr>
              <w:t>重庆北江机械制造有限责任公司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2" w:name="专业代码"/>
            <w:r>
              <w:rPr>
                <w:b/>
                <w:sz w:val="21"/>
                <w:szCs w:val="21"/>
              </w:rPr>
              <w:t>14.02.01;17.02.00;17.10.02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14.02.01;17.02.00;17.10.02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燃气设备零配件及防腐管件（钢塑转换接头、钢塑引入管、防雷接头、绝缘接头）的生产流程：</w:t>
            </w:r>
          </w:p>
          <w:p>
            <w:pPr>
              <w:spacing w:line="4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原材料检验--下料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机加工--焊接--抛丸除锈---喷塑（需要时）---装配--压力试验--成品检验入库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公司将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喷塑、焊接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工序确认为特殊工序。制定《生产过程控制程序》对其进行控制。进行了过程确认并记录。加工过程中的风险为：加工尺寸、外观、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的不符合。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Q/BJ1-2017《燃气管道预制式燃气引入管》、Q/BJ4-2017《燃气管道防雷接头》、Q/BJ5-2017《整体式绝缘接头》、Q/BJ2-2017《燃气管道钢塑转换接头》企业标准等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检验项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目为：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焊接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气孔焊瘤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裂纹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虚焊，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焊缝表面击伤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喷塑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外观均匀，不能有露底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型式试验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提供有产品全性能试验报告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OHSMS </w: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92710</wp:posOffset>
            </wp:positionV>
            <wp:extent cx="445770" cy="337820"/>
            <wp:effectExtent l="0" t="0" r="11430" b="12700"/>
            <wp:wrapNone/>
            <wp:docPr id="3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87630</wp:posOffset>
            </wp:positionV>
            <wp:extent cx="445770" cy="337820"/>
            <wp:effectExtent l="0" t="0" r="11430" b="12700"/>
            <wp:wrapNone/>
            <wp:docPr id="2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2020.11.29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5A45D9"/>
    <w:rsid w:val="2FF56720"/>
    <w:rsid w:val="42093E2F"/>
    <w:rsid w:val="78E02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2020-11-27T14:20:15Z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