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lang w:val="en-US" w:eastAsia="zh-CN"/>
        </w:rPr>
        <w:t>大庆嘉鸿达石油钻采设备有限公司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0246-2019-2020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246-</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9-</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541"/>
        <w:gridCol w:w="156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54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lang w:val="en-US" w:eastAsia="zh-CN"/>
              </w:rPr>
              <w:t>大庆嘉鸿达石油钻采设备</w:t>
            </w:r>
            <w:r>
              <w:rPr>
                <w:rFonts w:hint="eastAsia" w:ascii="宋体" w:hAnsi="宋体" w:eastAsia="宋体"/>
                <w:szCs w:val="21"/>
                <w:lang w:val="en-US" w:eastAsia="zh-CN"/>
              </w:rPr>
              <w:t>有限公司</w:t>
            </w:r>
          </w:p>
        </w:tc>
        <w:tc>
          <w:tcPr>
            <w:tcW w:w="156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叶存在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541"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ISC-2019-0597</w:t>
            </w:r>
          </w:p>
        </w:tc>
        <w:tc>
          <w:tcPr>
            <w:tcW w:w="156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2024.12.19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541"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第1次</w:t>
            </w:r>
          </w:p>
        </w:tc>
        <w:tc>
          <w:tcPr>
            <w:tcW w:w="156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2020.11.30-12月1日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541"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56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jc w:val="center"/>
              <w:rPr>
                <w:rFonts w:hint="eastAsia" w:eastAsia="宋体"/>
                <w:sz w:val="18"/>
                <w:szCs w:val="18"/>
                <w:lang w:val="en-US" w:eastAsia="zh-CN"/>
              </w:rPr>
            </w:pPr>
            <w:r>
              <w:rPr>
                <w:rFonts w:hint="eastAsia" w:eastAsia="宋体"/>
                <w:sz w:val="18"/>
                <w:szCs w:val="18"/>
                <w:lang w:val="en-US" w:eastAsia="zh-CN"/>
              </w:rPr>
              <w:t>管理层/质检部/生产技术部（生产车间）</w:t>
            </w:r>
          </w:p>
          <w:p>
            <w:pPr>
              <w:jc w:val="center"/>
              <w:rPr>
                <w:rFonts w:hint="default" w:cs="宋体" w:asciiTheme="minorEastAsia" w:hAnsiTheme="minorEastAsia" w:eastAsiaTheme="minorEastAsia"/>
                <w:kern w:val="0"/>
                <w:szCs w:val="21"/>
                <w:lang w:val="en-US" w:eastAsia="zh-CN"/>
              </w:rPr>
            </w:pPr>
            <w:r>
              <w:rPr>
                <w:rFonts w:hint="eastAsia" w:eastAsia="宋体"/>
                <w:sz w:val="18"/>
                <w:szCs w:val="18"/>
                <w:lang w:val="en-US" w:eastAsia="zh-CN"/>
              </w:rPr>
              <w:t>综合部/行政办公室</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val="en-US" w:eastAsia="zh-CN"/>
        </w:rPr>
        <w:t>一</w:t>
      </w:r>
      <w:r>
        <w:rPr>
          <w:rFonts w:hint="eastAsia" w:ascii="宋体" w:hAnsi="宋体"/>
          <w:sz w:val="24"/>
          <w:szCs w:val="24"/>
        </w:rPr>
        <w:t>年以来运行情况，在</w:t>
      </w:r>
      <w:r>
        <w:rPr>
          <w:rFonts w:hint="eastAsia" w:ascii="宋体" w:hAnsi="宋体"/>
          <w:sz w:val="24"/>
          <w:szCs w:val="24"/>
          <w:lang w:eastAsia="zh-CN"/>
        </w:rPr>
        <w:t>大庆嘉鸿达石油钻采设备</w:t>
      </w:r>
      <w:r>
        <w:rPr>
          <w:rFonts w:hint="eastAsia" w:ascii="宋体" w:hAnsi="宋体"/>
          <w:sz w:val="24"/>
          <w:szCs w:val="24"/>
        </w:rPr>
        <w:t>有限公司现场审核中，审核组先、后抽样检查了涉及公司测量体系内的、生产、经营、质量和环境等方面的</w:t>
      </w:r>
      <w:r>
        <w:rPr>
          <w:rFonts w:hint="eastAsia" w:ascii="宋体" w:hAnsi="宋体"/>
          <w:sz w:val="24"/>
          <w:szCs w:val="24"/>
          <w:lang w:val="en-US" w:eastAsia="zh-CN"/>
        </w:rPr>
        <w:t>4</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10"/>
          <w:rFonts w:hint="eastAsia" w:ascii="宋体" w:eastAsia="宋体"/>
          <w:sz w:val="24"/>
          <w:szCs w:val="24"/>
        </w:rPr>
        <w:t>及测量设备量值溯源完成情况</w:t>
      </w:r>
      <w:r>
        <w:rPr>
          <w:rStyle w:val="10"/>
          <w:rFonts w:hint="eastAsia" w:ascii="宋体" w:eastAsia="宋体"/>
          <w:sz w:val="24"/>
          <w:szCs w:val="24"/>
          <w:lang w:eastAsia="zh-CN"/>
        </w:rPr>
        <w:t>等</w:t>
      </w:r>
      <w:r>
        <w:rPr>
          <w:rStyle w:val="10"/>
          <w:rFonts w:hint="eastAsia" w:ascii="宋体" w:eastAsia="宋体"/>
          <w:sz w:val="24"/>
          <w:szCs w:val="24"/>
        </w:rPr>
        <w:t>。</w:t>
      </w:r>
      <w:r>
        <w:rPr>
          <w:rStyle w:val="10"/>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w:t>
      </w:r>
      <w:r>
        <w:rPr>
          <w:rFonts w:hint="eastAsia" w:ascii="宋体" w:hAnsi="宋体"/>
          <w:bCs/>
          <w:sz w:val="24"/>
          <w:szCs w:val="24"/>
        </w:rPr>
        <w:t>质量目标完成情况较好</w:t>
      </w:r>
      <w:r>
        <w:rPr>
          <w:rFonts w:hint="eastAsia" w:ascii="宋体" w:hAnsi="宋体" w:cs="宋体"/>
          <w:kern w:val="0"/>
          <w:sz w:val="24"/>
          <w:szCs w:val="24"/>
          <w:lang w:val="en-US" w:eastAsia="zh-CN"/>
        </w:rPr>
        <w:t>；大庆嘉鸿达石油钻采设备有限公司测量管理体系的符合性、有效性及持续改进，符合GB/T 19022-2003标准</w:t>
      </w:r>
      <w:r>
        <w:rPr>
          <w:rFonts w:hint="eastAsia" w:ascii="宋体" w:hAnsi="宋体"/>
          <w:bCs/>
          <w:sz w:val="24"/>
          <w:szCs w:val="24"/>
          <w:lang w:val="en-US" w:eastAsia="zh-CN"/>
        </w:rPr>
        <w:t>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10"/>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w:t>
      </w:r>
      <w:r>
        <w:rPr>
          <w:rFonts w:hint="eastAsia" w:cs="宋体" w:asciiTheme="minorEastAsia" w:hAnsiTheme="minorEastAsia"/>
          <w:bCs/>
          <w:kern w:val="0"/>
          <w:sz w:val="24"/>
          <w:szCs w:val="24"/>
          <w:shd w:val="clear" w:color="auto" w:fill="auto"/>
        </w:rPr>
        <w:t>20</w:t>
      </w:r>
      <w:r>
        <w:rPr>
          <w:rFonts w:hint="eastAsia" w:cs="宋体" w:asciiTheme="minorEastAsia" w:hAnsiTheme="minorEastAsia"/>
          <w:bCs/>
          <w:kern w:val="0"/>
          <w:sz w:val="24"/>
          <w:szCs w:val="24"/>
          <w:shd w:val="clear" w:color="auto" w:fill="auto"/>
          <w:lang w:val="en-US" w:eastAsia="zh-CN"/>
        </w:rPr>
        <w:t>20</w:t>
      </w:r>
      <w:r>
        <w:rPr>
          <w:rFonts w:hint="eastAsia" w:cs="宋体" w:asciiTheme="minorEastAsia" w:hAnsiTheme="minorEastAsia"/>
          <w:bCs/>
          <w:kern w:val="0"/>
          <w:sz w:val="24"/>
          <w:szCs w:val="24"/>
          <w:shd w:val="clear" w:color="auto" w:fill="auto"/>
        </w:rPr>
        <w:t>年</w:t>
      </w:r>
      <w:r>
        <w:rPr>
          <w:rFonts w:hint="eastAsia" w:cs="宋体" w:asciiTheme="minorEastAsia" w:hAnsiTheme="minorEastAsia"/>
          <w:bCs/>
          <w:kern w:val="0"/>
          <w:sz w:val="24"/>
          <w:szCs w:val="24"/>
          <w:shd w:val="clear" w:color="auto" w:fill="auto"/>
          <w:lang w:val="en-US" w:eastAsia="zh-CN"/>
        </w:rPr>
        <w:t>9</w:t>
      </w:r>
      <w:r>
        <w:rPr>
          <w:rFonts w:hint="eastAsia" w:cs="宋体" w:asciiTheme="minorEastAsia" w:hAnsiTheme="minorEastAsia"/>
          <w:bCs/>
          <w:kern w:val="0"/>
          <w:sz w:val="24"/>
          <w:szCs w:val="24"/>
          <w:shd w:val="clear" w:color="auto" w:fill="auto"/>
        </w:rPr>
        <w:t>月</w:t>
      </w:r>
      <w:r>
        <w:rPr>
          <w:rFonts w:hint="eastAsia" w:cs="宋体" w:asciiTheme="minorEastAsia" w:hAnsiTheme="minorEastAsia"/>
          <w:bCs/>
          <w:kern w:val="0"/>
          <w:sz w:val="24"/>
          <w:szCs w:val="24"/>
          <w:shd w:val="clear" w:color="auto" w:fill="auto"/>
          <w:lang w:val="en-US" w:eastAsia="zh-CN"/>
        </w:rPr>
        <w:t>23</w:t>
      </w:r>
      <w:r>
        <w:rPr>
          <w:rFonts w:cs="宋体" w:asciiTheme="minorEastAsia" w:hAnsiTheme="minorEastAsia"/>
          <w:bCs/>
          <w:kern w:val="0"/>
          <w:sz w:val="24"/>
          <w:szCs w:val="24"/>
          <w:shd w:val="clear" w:color="auto" w:fill="auto"/>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10"/>
          <w:rFonts w:hint="eastAsia" w:ascii="宋体" w:eastAsia="宋体"/>
          <w:sz w:val="24"/>
          <w:szCs w:val="24"/>
        </w:rPr>
        <w:t>按GB/T 19022-2003标准的要素要求，审核共涉及了</w:t>
      </w:r>
      <w:r>
        <w:rPr>
          <w:rStyle w:val="10"/>
          <w:rFonts w:hint="eastAsia" w:ascii="宋体" w:eastAsia="宋体"/>
          <w:sz w:val="24"/>
          <w:szCs w:val="24"/>
          <w:lang w:val="en-US" w:eastAsia="zh-CN"/>
        </w:rPr>
        <w:t>4</w:t>
      </w:r>
      <w:r>
        <w:rPr>
          <w:rStyle w:val="10"/>
          <w:rFonts w:hint="eastAsia" w:ascii="宋体" w:eastAsia="宋体"/>
          <w:sz w:val="24"/>
          <w:szCs w:val="24"/>
        </w:rPr>
        <w:t>个职能部门和</w:t>
      </w:r>
      <w:r>
        <w:rPr>
          <w:rStyle w:val="10"/>
          <w:rFonts w:hint="eastAsia" w:ascii="宋体" w:eastAsia="宋体"/>
          <w:sz w:val="24"/>
          <w:szCs w:val="24"/>
          <w:lang w:val="en-US" w:eastAsia="zh-CN"/>
        </w:rPr>
        <w:t>1</w:t>
      </w:r>
      <w:r>
        <w:rPr>
          <w:rStyle w:val="10"/>
          <w:rFonts w:hint="eastAsia" w:ascii="宋体" w:eastAsia="宋体"/>
          <w:sz w:val="24"/>
          <w:szCs w:val="24"/>
        </w:rPr>
        <w:t>个生产作业单位。</w:t>
      </w:r>
      <w:r>
        <w:rPr>
          <w:rFonts w:hint="eastAsia"/>
          <w:sz w:val="24"/>
          <w:szCs w:val="24"/>
        </w:rPr>
        <w:t>审核共开具</w:t>
      </w:r>
      <w:r>
        <w:rPr>
          <w:rStyle w:val="10"/>
          <w:rFonts w:hint="eastAsia" w:ascii="宋体" w:eastAsia="宋体"/>
          <w:sz w:val="24"/>
          <w:szCs w:val="24"/>
        </w:rPr>
        <w:t xml:space="preserve">次要不符合项 </w:t>
      </w:r>
      <w:r>
        <w:rPr>
          <w:rStyle w:val="10"/>
          <w:rFonts w:hint="eastAsia" w:ascii="宋体" w:eastAsia="宋体"/>
          <w:sz w:val="24"/>
          <w:szCs w:val="24"/>
          <w:lang w:val="en-US" w:eastAsia="zh-CN"/>
        </w:rPr>
        <w:t>1</w:t>
      </w:r>
      <w:r>
        <w:rPr>
          <w:rStyle w:val="10"/>
          <w:rFonts w:hint="eastAsia" w:ascii="宋体" w:eastAsia="宋体"/>
          <w:sz w:val="24"/>
          <w:szCs w:val="24"/>
        </w:rPr>
        <w:t>项,对内审发现的问题，制定了有效的纠正措施</w:t>
      </w:r>
      <w:r>
        <w:rPr>
          <w:rStyle w:val="10"/>
          <w:rFonts w:hint="eastAsia" w:ascii="宋体" w:eastAsia="宋体"/>
          <w:sz w:val="24"/>
          <w:szCs w:val="24"/>
          <w:lang w:eastAsia="zh-CN"/>
        </w:rPr>
        <w:t>并</w:t>
      </w:r>
      <w:r>
        <w:rPr>
          <w:rStyle w:val="10"/>
          <w:rFonts w:hint="eastAsia" w:ascii="宋体" w:eastAsia="宋体"/>
          <w:sz w:val="24"/>
          <w:szCs w:val="24"/>
        </w:rPr>
        <w:t>及时整改</w:t>
      </w:r>
      <w:r>
        <w:rPr>
          <w:rStyle w:val="10"/>
          <w:rFonts w:hint="eastAsia" w:ascii="宋体" w:eastAsia="宋体"/>
          <w:sz w:val="24"/>
          <w:szCs w:val="24"/>
          <w:lang w:val="en-US" w:eastAsia="zh-CN"/>
        </w:rPr>
        <w:t>.</w:t>
      </w:r>
    </w:p>
    <w:p>
      <w:pPr>
        <w:widowControl/>
        <w:spacing w:line="360" w:lineRule="auto"/>
        <w:rPr>
          <w:rFonts w:ascii="宋体" w:hAnsi="宋体"/>
          <w:sz w:val="24"/>
          <w:szCs w:val="24"/>
        </w:rPr>
      </w:pPr>
      <w:r>
        <w:rPr>
          <w:rStyle w:val="10"/>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720" w:firstLineChars="300"/>
        <w:rPr>
          <w:rFonts w:hint="default" w:ascii="宋体" w:hAnsi="宋体" w:cs="黑体" w:eastAsiaTheme="minorEastAsia"/>
          <w:sz w:val="24"/>
          <w:szCs w:val="24"/>
          <w:lang w:val="en-US" w:eastAsia="zh-CN"/>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w:t>
      </w:r>
      <w:r>
        <w:rPr>
          <w:rFonts w:hint="eastAsia" w:cs="宋体" w:asciiTheme="minorEastAsia" w:hAnsiTheme="minorEastAsia"/>
          <w:bCs/>
          <w:kern w:val="0"/>
          <w:sz w:val="24"/>
          <w:szCs w:val="24"/>
          <w:shd w:val="clear" w:color="auto" w:fill="auto"/>
        </w:rPr>
        <w:t>0</w:t>
      </w:r>
      <w:r>
        <w:rPr>
          <w:rFonts w:hint="eastAsia" w:cs="宋体" w:asciiTheme="minorEastAsia" w:hAnsiTheme="minorEastAsia"/>
          <w:bCs/>
          <w:kern w:val="0"/>
          <w:sz w:val="24"/>
          <w:szCs w:val="24"/>
          <w:shd w:val="clear" w:color="auto" w:fill="auto"/>
          <w:lang w:val="en-US" w:eastAsia="zh-CN"/>
        </w:rPr>
        <w:t>20</w:t>
      </w:r>
      <w:r>
        <w:rPr>
          <w:rFonts w:hint="eastAsia" w:cs="宋体" w:asciiTheme="minorEastAsia" w:hAnsiTheme="minorEastAsia"/>
          <w:bCs/>
          <w:kern w:val="0"/>
          <w:sz w:val="24"/>
          <w:szCs w:val="24"/>
          <w:shd w:val="clear" w:color="auto" w:fill="auto"/>
        </w:rPr>
        <w:t>年</w:t>
      </w:r>
      <w:r>
        <w:rPr>
          <w:rFonts w:hint="eastAsia" w:cs="宋体" w:asciiTheme="minorEastAsia" w:hAnsiTheme="minorEastAsia"/>
          <w:bCs/>
          <w:kern w:val="0"/>
          <w:sz w:val="24"/>
          <w:szCs w:val="24"/>
          <w:shd w:val="clear" w:color="auto" w:fill="auto"/>
          <w:lang w:val="en-US" w:eastAsia="zh-CN"/>
        </w:rPr>
        <w:t>10</w:t>
      </w:r>
      <w:r>
        <w:rPr>
          <w:rFonts w:hint="eastAsia" w:cs="宋体" w:asciiTheme="minorEastAsia" w:hAnsiTheme="minorEastAsia"/>
          <w:bCs/>
          <w:kern w:val="0"/>
          <w:sz w:val="24"/>
          <w:szCs w:val="24"/>
          <w:shd w:val="clear" w:color="auto" w:fill="auto"/>
        </w:rPr>
        <w:t>月</w:t>
      </w:r>
      <w:r>
        <w:rPr>
          <w:rFonts w:hint="eastAsia" w:cs="宋体" w:asciiTheme="minorEastAsia" w:hAnsiTheme="minorEastAsia"/>
          <w:bCs/>
          <w:kern w:val="0"/>
          <w:sz w:val="24"/>
          <w:szCs w:val="24"/>
          <w:shd w:val="clear" w:color="auto" w:fill="auto"/>
          <w:lang w:val="en-US" w:eastAsia="zh-CN"/>
        </w:rPr>
        <w:t>27</w:t>
      </w:r>
      <w:r>
        <w:rPr>
          <w:rFonts w:cs="宋体" w:asciiTheme="minorEastAsia" w:hAnsiTheme="minorEastAsia"/>
          <w:bCs/>
          <w:kern w:val="0"/>
          <w:sz w:val="24"/>
          <w:szCs w:val="24"/>
          <w:shd w:val="clear" w:color="auto" w:fill="auto"/>
        </w:rPr>
        <w:t>日</w:t>
      </w:r>
      <w:r>
        <w:rPr>
          <w:rFonts w:hint="eastAsia" w:cs="宋体" w:asciiTheme="minorEastAsia" w:hAnsiTheme="minorEastAsia"/>
          <w:bCs/>
          <w:kern w:val="0"/>
          <w:sz w:val="24"/>
          <w:szCs w:val="24"/>
          <w:shd w:val="clear" w:color="auto" w:fill="auto"/>
          <w:lang w:val="en-US" w:eastAsia="zh-CN"/>
        </w:rPr>
        <w:t>进</w:t>
      </w:r>
      <w:r>
        <w:rPr>
          <w:rFonts w:hint="eastAsia" w:cs="宋体" w:asciiTheme="minorEastAsia" w:hAnsiTheme="minorEastAsia"/>
          <w:bCs/>
          <w:kern w:val="0"/>
          <w:sz w:val="24"/>
          <w:szCs w:val="24"/>
          <w:lang w:val="en-US" w:eastAsia="zh-CN"/>
        </w:rPr>
        <w:t>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w:t>
      </w:r>
      <w:r>
        <w:rPr>
          <w:rFonts w:hint="eastAsia" w:ascii="宋体" w:hAnsi="宋体" w:cs="黑体"/>
          <w:sz w:val="24"/>
          <w:szCs w:val="24"/>
          <w:lang w:val="en-US" w:eastAsia="zh-CN"/>
        </w:rPr>
        <w:t>管理者代表</w:t>
      </w:r>
      <w:r>
        <w:rPr>
          <w:rFonts w:hint="eastAsia" w:ascii="宋体" w:hAnsi="宋体" w:eastAsia="宋体" w:cs="宋体"/>
          <w:kern w:val="0"/>
          <w:szCs w:val="21"/>
          <w:lang w:val="en-US" w:eastAsia="zh-CN"/>
        </w:rPr>
        <w:t>叶存在</w:t>
      </w:r>
      <w:r>
        <w:rPr>
          <w:rFonts w:hint="eastAsia" w:ascii="宋体" w:hAnsi="宋体" w:cs="黑体"/>
          <w:sz w:val="24"/>
          <w:szCs w:val="24"/>
          <w:lang w:val="en-US" w:eastAsia="zh-CN"/>
        </w:rPr>
        <w:t>主</w:t>
      </w:r>
      <w:r>
        <w:rPr>
          <w:rFonts w:hint="eastAsia" w:ascii="宋体" w:hAnsi="宋体" w:cs="黑体"/>
          <w:sz w:val="24"/>
          <w:szCs w:val="24"/>
        </w:rPr>
        <w:t>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w:t>
      </w:r>
      <w:r>
        <w:rPr>
          <w:rFonts w:hint="eastAsia" w:ascii="宋体" w:hAnsi="宋体" w:cs="黑体"/>
          <w:sz w:val="24"/>
          <w:szCs w:val="24"/>
          <w:lang w:val="en-US" w:eastAsia="zh-CN"/>
        </w:rPr>
        <w:t>计量器具、检验记录的管理上的薄弱环节，提出规范产品检验，检测记录加强记录器具的管理，做好人员培训工作</w:t>
      </w:r>
      <w:r>
        <w:rPr>
          <w:rFonts w:hint="eastAsia" w:ascii="宋体" w:hAnsi="宋体" w:cs="黑体"/>
          <w:sz w:val="24"/>
          <w:szCs w:val="24"/>
        </w:rPr>
        <w:t>问题</w:t>
      </w:r>
      <w:r>
        <w:rPr>
          <w:rFonts w:hint="eastAsia" w:ascii="宋体" w:hAnsi="宋体" w:cs="黑体"/>
          <w:sz w:val="24"/>
          <w:szCs w:val="24"/>
          <w:lang w:eastAsia="zh-CN"/>
        </w:rPr>
        <w:t>，</w:t>
      </w:r>
      <w:r>
        <w:rPr>
          <w:rFonts w:hint="eastAsia" w:ascii="宋体" w:hAnsi="宋体" w:cs="黑体"/>
          <w:sz w:val="24"/>
          <w:szCs w:val="24"/>
        </w:rPr>
        <w:t>落实了整改部门。</w:t>
      </w:r>
      <w:r>
        <w:rPr>
          <w:rFonts w:hint="eastAsia" w:ascii="宋体" w:hAnsi="宋体" w:cs="黑体"/>
          <w:sz w:val="24"/>
          <w:szCs w:val="24"/>
          <w:lang w:val="en-US" w:eastAsia="zh-CN"/>
        </w:rPr>
        <w:t>管理评审结论为：公司测量管理体系基本有效运行，符合GB/T 19022-2003标准要求。</w:t>
      </w:r>
    </w:p>
    <w:p>
      <w:pPr>
        <w:numPr>
          <w:ilvl w:val="0"/>
          <w:numId w:val="0"/>
        </w:numPr>
        <w:snapToGrid w:val="0"/>
        <w:spacing w:line="360" w:lineRule="auto"/>
        <w:ind w:leftChars="0" w:right="-512" w:rightChars="-244"/>
        <w:rPr>
          <w:rFonts w:hint="eastAsia"/>
          <w:sz w:val="24"/>
          <w:szCs w:val="24"/>
          <w:lang w:val="en-US" w:eastAsia="zh-CN"/>
        </w:rPr>
      </w:pPr>
      <w:r>
        <w:rPr>
          <w:rFonts w:hint="eastAsia" w:asciiTheme="minorEastAsia" w:hAnsiTheme="minorEastAsia"/>
          <w:bCs/>
          <w:szCs w:val="21"/>
          <w:lang w:val="en-US" w:eastAsia="zh-CN"/>
        </w:rPr>
        <w:t>4.</w:t>
      </w:r>
      <w:r>
        <w:rPr>
          <w:rFonts w:hint="eastAsia" w:asciiTheme="minorEastAsia" w:hAnsiTheme="minorEastAsia"/>
          <w:bCs/>
          <w:szCs w:val="21"/>
        </w:rPr>
        <w:t>为</w:t>
      </w:r>
      <w:r>
        <w:rPr>
          <w:rFonts w:hint="eastAsia"/>
          <w:sz w:val="24"/>
          <w:szCs w:val="24"/>
          <w:lang w:val="en-US" w:eastAsia="zh-CN"/>
        </w:rPr>
        <w:t>持续改进而策划的活动的进展 ，包括：</w:t>
      </w:r>
    </w:p>
    <w:p>
      <w:pPr>
        <w:rPr>
          <w:rFonts w:hint="default"/>
          <w:sz w:val="24"/>
          <w:szCs w:val="24"/>
          <w:lang w:val="en-US" w:eastAsia="zh-CN"/>
        </w:rPr>
      </w:pPr>
      <w:r>
        <w:rPr>
          <w:rFonts w:hint="eastAsia"/>
          <w:sz w:val="24"/>
          <w:szCs w:val="24"/>
          <w:lang w:val="en-US" w:eastAsia="zh-CN"/>
        </w:rPr>
        <w:t>4.1企业对已识别的燃气调压箱整机水压试验及新增原油管道智能计量一体化装置密封试验测量过程，按测量过程控制规范，进行了有效性监视。记录、监视控制图齐全，完整；现场重点抽查了燃气调压箱整机水压试验及新增原油管道智能计量一体化装置密封试验</w:t>
      </w:r>
    </w:p>
    <w:p>
      <w:pPr>
        <w:rPr>
          <w:rFonts w:hint="eastAsia"/>
          <w:sz w:val="24"/>
          <w:szCs w:val="24"/>
          <w:lang w:val="en-US" w:eastAsia="zh-CN"/>
        </w:rPr>
      </w:pPr>
      <w:r>
        <w:rPr>
          <w:rFonts w:hint="eastAsia"/>
          <w:sz w:val="24"/>
          <w:szCs w:val="24"/>
          <w:lang w:val="en-US" w:eastAsia="zh-CN"/>
        </w:rPr>
        <w:t>测量不确定度评定方法正确。详见附件《不确定度评定报告》等不确定度评定报告。</w:t>
      </w:r>
    </w:p>
    <w:p>
      <w:pPr>
        <w:rPr>
          <w:rFonts w:hint="default"/>
          <w:sz w:val="24"/>
          <w:szCs w:val="24"/>
          <w:lang w:val="en-US" w:eastAsia="zh-CN"/>
        </w:rPr>
      </w:pPr>
      <w:r>
        <w:rPr>
          <w:rFonts w:hint="eastAsia"/>
          <w:sz w:val="24"/>
          <w:szCs w:val="24"/>
          <w:lang w:val="en-US" w:eastAsia="zh-CN"/>
        </w:rPr>
        <w:t>4.2检查了企业测量设备《计量确认明细表》，对8台件的测量设备进行了计量确认和验证，全部在有效期内，验证结果均为合格。关键测量过程燃气调压箱整机水压试验及新增原油管道智能计量一体化装置密封试验</w:t>
      </w:r>
    </w:p>
    <w:p>
      <w:pPr>
        <w:rPr>
          <w:rFonts w:hint="eastAsia"/>
          <w:sz w:val="24"/>
          <w:szCs w:val="24"/>
          <w:lang w:val="en-US" w:eastAsia="zh-CN"/>
        </w:rPr>
      </w:pPr>
      <w:r>
        <w:rPr>
          <w:rFonts w:hint="eastAsia"/>
          <w:sz w:val="24"/>
          <w:szCs w:val="24"/>
          <w:lang w:val="en-US" w:eastAsia="zh-CN"/>
        </w:rPr>
        <w:t>测量过程，计量性能测试，监视记录，监视控制图，均已按测量过程控制规范，进行了有效性监视和记录统计。</w:t>
      </w:r>
    </w:p>
    <w:p>
      <w:pPr>
        <w:rPr>
          <w:rFonts w:hint="eastAsia"/>
          <w:sz w:val="24"/>
          <w:szCs w:val="24"/>
          <w:lang w:val="en-US" w:eastAsia="zh-CN"/>
        </w:rPr>
      </w:pPr>
      <w:r>
        <w:rPr>
          <w:rFonts w:hint="eastAsia"/>
          <w:sz w:val="24"/>
          <w:szCs w:val="24"/>
          <w:lang w:val="en-US" w:eastAsia="zh-CN"/>
        </w:rPr>
        <w:t>4.3企业增加新的测量过程，查看了原关键测量燃气调压箱整机水压试验过程</w:t>
      </w:r>
      <w:r>
        <w:rPr>
          <w:rFonts w:hint="eastAsia" w:ascii="宋体" w:hAnsi="宋体"/>
          <w:szCs w:val="21"/>
          <w:lang w:val="en-US" w:eastAsia="zh-CN"/>
        </w:rPr>
        <w:t>及新增</w:t>
      </w:r>
      <w:r>
        <w:rPr>
          <w:rFonts w:hint="eastAsia"/>
          <w:lang w:eastAsia="zh-CN"/>
        </w:rPr>
        <w:t>原油管道智能计量一体化装置密封试验</w:t>
      </w:r>
      <w:r>
        <w:rPr>
          <w:rFonts w:hint="eastAsia"/>
          <w:sz w:val="24"/>
          <w:szCs w:val="24"/>
          <w:lang w:val="en-US" w:eastAsia="zh-CN"/>
        </w:rPr>
        <w:t>，计量要求导出方法基本正确，测量设备的配备满足计量要求，测量设备经过检定校准，测量设备验证方法正确。</w:t>
      </w:r>
    </w:p>
    <w:p>
      <w:pPr>
        <w:rPr>
          <w:rFonts w:hint="eastAsia"/>
          <w:sz w:val="24"/>
          <w:szCs w:val="24"/>
          <w:lang w:val="en-US" w:eastAsia="zh-CN"/>
        </w:rPr>
      </w:pPr>
      <w:r>
        <w:rPr>
          <w:rFonts w:hint="eastAsia"/>
          <w:sz w:val="24"/>
          <w:szCs w:val="24"/>
          <w:lang w:val="en-US" w:eastAsia="zh-CN"/>
        </w:rPr>
        <w:t>4.4查《燃气调压箱整机水压试验</w:t>
      </w:r>
      <w:r>
        <w:rPr>
          <w:rFonts w:hint="eastAsia" w:ascii="宋体" w:hAnsi="宋体"/>
          <w:szCs w:val="21"/>
          <w:lang w:val="en-US" w:eastAsia="zh-CN"/>
        </w:rPr>
        <w:t>及新增</w:t>
      </w:r>
      <w:r>
        <w:rPr>
          <w:rFonts w:hint="eastAsia"/>
          <w:lang w:eastAsia="zh-CN"/>
        </w:rPr>
        <w:t>原油管道智能计量一体化装置密封试验</w:t>
      </w:r>
      <w:r>
        <w:rPr>
          <w:rFonts w:hint="eastAsia"/>
          <w:sz w:val="24"/>
          <w:szCs w:val="24"/>
          <w:lang w:val="en-US" w:eastAsia="zh-CN"/>
        </w:rPr>
        <w:t>测量过程不确定度评定》，方法和结果正确。</w:t>
      </w:r>
    </w:p>
    <w:p>
      <w:pPr>
        <w:rPr>
          <w:rFonts w:hint="default" w:eastAsiaTheme="minorEastAsia"/>
          <w:sz w:val="24"/>
          <w:szCs w:val="24"/>
          <w:shd w:val="clear" w:color="auto" w:fill="auto"/>
          <w:lang w:val="en-US" w:eastAsia="zh-CN"/>
        </w:rPr>
      </w:pPr>
      <w:r>
        <w:rPr>
          <w:rFonts w:hint="eastAsia"/>
          <w:sz w:val="24"/>
          <w:szCs w:val="24"/>
          <w:lang w:val="en-US" w:eastAsia="zh-CN"/>
        </w:rPr>
        <w:t>4.5查《燃气调压箱整机水压试验</w:t>
      </w:r>
      <w:r>
        <w:rPr>
          <w:rFonts w:hint="eastAsia" w:ascii="宋体" w:hAnsi="宋体"/>
          <w:szCs w:val="21"/>
          <w:lang w:val="en-US" w:eastAsia="zh-CN"/>
        </w:rPr>
        <w:t>及新增</w:t>
      </w:r>
      <w:r>
        <w:rPr>
          <w:rFonts w:hint="eastAsia"/>
          <w:lang w:eastAsia="zh-CN"/>
        </w:rPr>
        <w:t>原油管道智能计量一体化装置密封试验</w:t>
      </w:r>
      <w:r>
        <w:rPr>
          <w:rFonts w:hint="eastAsia"/>
          <w:sz w:val="24"/>
          <w:szCs w:val="24"/>
          <w:lang w:val="en-US" w:eastAsia="zh-CN"/>
        </w:rPr>
        <w:t>测量过程计量要求导出和计量验证记录表》，信息内容完整，正确。</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hint="default" w:cs="宋体" w:asciiTheme="minorEastAsia" w:hAnsiTheme="minorEastAsia" w:eastAsiaTheme="minorEastAsia"/>
          <w:bCs/>
          <w:color w:val="000000" w:themeColor="text1"/>
          <w:kern w:val="0"/>
          <w:sz w:val="24"/>
          <w:szCs w:val="24"/>
          <w:lang w:val="en-US" w:eastAsia="zh-CN"/>
        </w:rPr>
      </w:pPr>
      <w:r>
        <w:rPr>
          <w:rFonts w:hint="eastAsia" w:asciiTheme="minorEastAsia" w:hAnsiTheme="minorEastAsia"/>
          <w:bCs/>
          <w:sz w:val="24"/>
          <w:szCs w:val="24"/>
        </w:rPr>
        <w:t>公司</w:t>
      </w:r>
      <w:r>
        <w:rPr>
          <w:rFonts w:hint="eastAsia" w:asciiTheme="minorEastAsia" w:hAnsiTheme="minorEastAsia"/>
          <w:bCs/>
          <w:sz w:val="24"/>
          <w:szCs w:val="24"/>
          <w:lang w:val="en-US" w:eastAsia="zh-CN"/>
        </w:rPr>
        <w:t>2019年初审核</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2</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审核时</w:t>
      </w:r>
      <w:r>
        <w:rPr>
          <w:rFonts w:hint="eastAsia" w:asciiTheme="minorEastAsia" w:hAnsiTheme="minorEastAsia"/>
          <w:bCs/>
          <w:sz w:val="24"/>
          <w:szCs w:val="24"/>
        </w:rPr>
        <w:t>及时制定整改计划，</w:t>
      </w:r>
      <w:r>
        <w:rPr>
          <w:rFonts w:hint="eastAsia" w:asciiTheme="minorEastAsia" w:hAnsiTheme="minorEastAsia"/>
          <w:bCs/>
          <w:sz w:val="24"/>
          <w:szCs w:val="24"/>
          <w:lang w:val="en-US" w:eastAsia="zh-CN"/>
        </w:rPr>
        <w:t>现场审核时已关闭，符合要求。</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rPr>
          <w:rFonts w:ascii="宋体" w:cs="宋体"/>
          <w:bCs/>
          <w:kern w:val="0"/>
          <w:szCs w:val="21"/>
        </w:rPr>
      </w:pPr>
      <w:r>
        <w:rPr>
          <w:rFonts w:hint="eastAsia" w:ascii="宋体" w:hAnsi="宋体"/>
          <w:sz w:val="24"/>
          <w:szCs w:val="24"/>
          <w:highlight w:val="none"/>
          <w:lang w:val="en-US" w:eastAsia="zh-CN"/>
        </w:rPr>
        <w:t xml:space="preserve">8.对企业组织任何变更的审核 </w:t>
      </w:r>
      <w:r>
        <w:rPr>
          <w:rFonts w:hint="eastAsia" w:ascii="宋体" w:hAnsi="宋体" w:cs="宋体"/>
          <w:bCs/>
          <w:kern w:val="0"/>
          <w:szCs w:val="21"/>
        </w:rPr>
        <w:t>企业</w:t>
      </w:r>
      <w:r>
        <w:rPr>
          <w:rFonts w:hint="eastAsia" w:ascii="宋体" w:hAnsi="宋体" w:cs="宋体"/>
          <w:bCs/>
          <w:kern w:val="0"/>
          <w:szCs w:val="21"/>
          <w:lang w:val="en-US" w:eastAsia="zh-CN"/>
        </w:rPr>
        <w:t>组织无变化</w:t>
      </w:r>
      <w:r>
        <w:rPr>
          <w:rFonts w:hint="eastAsia" w:ascii="宋体" w:hAnsi="宋体" w:cs="宋体"/>
          <w:bCs/>
          <w:kern w:val="0"/>
          <w:szCs w:val="21"/>
        </w:rPr>
        <w:t>，</w:t>
      </w:r>
      <w:r>
        <w:rPr>
          <w:rFonts w:hint="eastAsia" w:ascii="宋体" w:hAnsi="宋体"/>
          <w:color w:val="000000"/>
          <w:szCs w:val="21"/>
          <w:lang w:val="en-US" w:eastAsia="zh-CN"/>
        </w:rPr>
        <w:t>企业于2020年11月18日换证，营业执照统一社会信用代码</w:t>
      </w:r>
      <w:r>
        <w:rPr>
          <w:rFonts w:hint="eastAsia" w:ascii="宋体" w:hAnsi="宋体" w:cs="宋体"/>
          <w:sz w:val="24"/>
          <w:szCs w:val="24"/>
          <w:lang w:val="en-US" w:eastAsia="zh-CN"/>
        </w:rPr>
        <w:t>91230604677486065D</w:t>
      </w:r>
      <w:r>
        <w:rPr>
          <w:rFonts w:hint="eastAsia" w:ascii="宋体" w:hAnsi="宋体" w:cs="宋体"/>
          <w:sz w:val="24"/>
          <w:szCs w:val="24"/>
        </w:rPr>
        <w:t xml:space="preserve"> </w:t>
      </w:r>
      <w:r>
        <w:rPr>
          <w:rFonts w:hint="eastAsia" w:ascii="宋体" w:hAnsi="宋体"/>
          <w:bCs/>
          <w:szCs w:val="21"/>
          <w:lang w:val="en-US" w:eastAsia="zh-CN"/>
        </w:rPr>
        <w:t>,有效期为长期。</w:t>
      </w:r>
      <w:r>
        <w:rPr>
          <w:rFonts w:hint="eastAsia" w:ascii="宋体" w:hAnsi="宋体" w:cs="宋体"/>
          <w:bCs/>
          <w:kern w:val="0"/>
          <w:szCs w:val="21"/>
        </w:rPr>
        <w:t>认证产品</w:t>
      </w:r>
      <w:r>
        <w:rPr>
          <w:rFonts w:hint="eastAsia" w:ascii="宋体" w:hAnsi="宋体" w:cs="宋体"/>
          <w:bCs/>
          <w:kern w:val="0"/>
          <w:szCs w:val="21"/>
          <w:lang w:val="en-US" w:eastAsia="zh-CN"/>
        </w:rPr>
        <w:t>范围发生</w:t>
      </w:r>
      <w:r>
        <w:rPr>
          <w:rFonts w:hint="eastAsia" w:ascii="宋体" w:hAnsi="宋体" w:cs="宋体"/>
          <w:bCs/>
          <w:kern w:val="0"/>
          <w:szCs w:val="21"/>
        </w:rPr>
        <w:t>变化。</w:t>
      </w:r>
      <w:r>
        <w:rPr>
          <w:rFonts w:hint="eastAsia" w:ascii="宋体" w:hAnsi="宋体" w:cs="宋体"/>
          <w:bCs/>
          <w:kern w:val="0"/>
          <w:szCs w:val="21"/>
          <w:lang w:val="en-US" w:eastAsia="zh-CN"/>
        </w:rPr>
        <w:t>原认证范</w:t>
      </w:r>
      <w:r>
        <w:rPr>
          <w:rFonts w:hint="eastAsia" w:ascii="宋体" w:hAnsi="宋体"/>
          <w:color w:val="000000"/>
          <w:szCs w:val="21"/>
          <w:lang w:val="en-US" w:eastAsia="zh-CN"/>
        </w:rPr>
        <w:t>围为“</w:t>
      </w:r>
      <w:r>
        <w:rPr>
          <w:rFonts w:ascii="Helvetica" w:hAnsi="Helvetica" w:cs="Helvetica"/>
          <w:color w:val="000000"/>
          <w:szCs w:val="21"/>
          <w:shd w:val="clear" w:color="auto" w:fill="FFFFFF"/>
        </w:rPr>
        <w:t>掺水流量自控装置（含流量控制器、智能流量计算装置、母液流量控制器）、智能磁电流量计、智能压力变送器、燃气调压器（箱）、压力管道元件（燃气调压装置）、石油钻采设备及配件（混合阀组、地面井口安全阀及控制系统、油气连续计量装置、过滤器、混合器、加药装置、回收装置）、水处理设备、仪器仪表、阀门的生产；油田钻采设备（稀油站、滤油机）的加工；燃气设备（燃气加臭装置）、自力式调节阀、</w:t>
      </w:r>
      <w:r>
        <w:rPr>
          <w:rFonts w:ascii="Helvetica" w:hAnsi="Helvetica" w:cs="Helvetica"/>
          <w:color w:val="000000" w:themeColor="text1"/>
          <w:szCs w:val="21"/>
          <w:shd w:val="clear" w:color="auto" w:fill="FFFFFF"/>
        </w:rPr>
        <w:t>智能磁电流量计水表</w:t>
      </w:r>
      <w:r>
        <w:rPr>
          <w:rFonts w:hint="eastAsia" w:ascii="Helvetica" w:hAnsi="Helvetica" w:cs="Helvetica"/>
          <w:color w:val="000000" w:themeColor="text1"/>
          <w:szCs w:val="21"/>
          <w:shd w:val="clear" w:color="auto" w:fill="FFFFFF"/>
          <w:lang w:eastAsia="zh-CN"/>
        </w:rPr>
        <w:t>”</w:t>
      </w:r>
      <w:r>
        <w:rPr>
          <w:rFonts w:hint="eastAsia" w:ascii="宋体" w:hAnsi="宋体"/>
          <w:color w:val="000000"/>
          <w:szCs w:val="21"/>
          <w:lang w:eastAsia="zh-CN"/>
        </w:rPr>
        <w:t>等，</w:t>
      </w:r>
      <w:r>
        <w:rPr>
          <w:rFonts w:hint="eastAsia" w:ascii="宋体" w:hAnsi="宋体"/>
          <w:color w:val="000000"/>
          <w:szCs w:val="21"/>
          <w:lang w:val="en-US" w:eastAsia="zh-CN"/>
        </w:rPr>
        <w:t>现认证范围</w:t>
      </w:r>
      <w:r>
        <w:rPr>
          <w:rFonts w:hint="eastAsia" w:ascii="宋体" w:hAnsi="宋体" w:cs="宋体"/>
          <w:bCs/>
          <w:kern w:val="0"/>
          <w:szCs w:val="21"/>
          <w:lang w:val="en-US" w:eastAsia="zh-CN"/>
        </w:rPr>
        <w:t>为“</w:t>
      </w:r>
      <w:r>
        <w:rPr>
          <w:rFonts w:hint="eastAsia"/>
          <w:highlight w:val="none"/>
        </w:rPr>
        <w:t>仪器仪表（掺水流量自控装置（含流量控制器、智能流量计算装置、母液流量控制器）、智能磁电流量计、智能压力变送器、原油管道智能计量一体化装置、油气连续计量装置）、资质许可范围内的压力管道元件</w:t>
      </w:r>
      <w:r>
        <w:rPr>
          <w:rFonts w:hint="eastAsia"/>
          <w:highlight w:val="none"/>
          <w:lang w:eastAsia="zh-CN"/>
        </w:rPr>
        <w:t>｛</w:t>
      </w:r>
      <w:r>
        <w:rPr>
          <w:rFonts w:hint="eastAsia" w:ascii="宋体" w:hAnsi="宋体" w:eastAsia="宋体" w:cs="宋体"/>
          <w:highlight w:val="none"/>
        </w:rPr>
        <w:t>燃</w:t>
      </w:r>
      <w:r>
        <w:rPr>
          <w:rFonts w:hint="eastAsia"/>
          <w:highlight w:val="none"/>
        </w:rPr>
        <w:t>气调压装置</w:t>
      </w:r>
      <w:r>
        <w:rPr>
          <w:rFonts w:hint="eastAsia" w:ascii="宋体" w:hAnsi="宋体" w:eastAsia="宋体" w:cs="宋体"/>
          <w:highlight w:val="none"/>
        </w:rPr>
        <w:t>[</w:t>
      </w:r>
      <w:r>
        <w:rPr>
          <w:rFonts w:hint="eastAsia"/>
          <w:highlight w:val="none"/>
        </w:rPr>
        <w:t>燃气调压器（箱）</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highlight w:val="none"/>
        </w:rPr>
        <w:t>、水处理设备（静态混合器、过滤器、加药装置、回收装置、混合阀组、地面井口安全阀及控制系统）的生产；工业用现场分析小屋成套系统的组装生产；油田钻采设备（稀油站、滤油机）的加工，燃气设备（燃气加臭装置）、自力式调节阀、阀门的销售</w:t>
      </w:r>
      <w:r>
        <w:rPr>
          <w:rFonts w:hint="eastAsia" w:ascii="宋体" w:hAnsi="宋体"/>
          <w:szCs w:val="21"/>
        </w:rPr>
        <w:t>所有活动的测量过程、部门、场所，实际位置</w:t>
      </w:r>
      <w:r>
        <w:rPr>
          <w:rFonts w:hint="eastAsia" w:ascii="宋体" w:hAnsi="宋体"/>
          <w:color w:val="000000"/>
          <w:szCs w:val="21"/>
          <w:lang w:val="en-US" w:eastAsia="zh-CN"/>
        </w:rPr>
        <w:t>，原油管道智能计量一体化装置产品检验报告编号WD202000185验证单位大庆市产品质量监督检验所，</w:t>
      </w:r>
      <w:r>
        <w:rPr>
          <w:rFonts w:hint="eastAsia" w:ascii="宋体" w:hAnsi="宋体"/>
          <w:bCs/>
          <w:szCs w:val="21"/>
          <w:lang w:val="en-US" w:eastAsia="zh-CN"/>
        </w:rPr>
        <w:t>符合要求。生产过程中所用测量设备在检定周期内，见测量设备朔源检查表，所增项</w:t>
      </w:r>
      <w:r>
        <w:rPr>
          <w:rFonts w:hint="eastAsia"/>
          <w:highlight w:val="none"/>
        </w:rPr>
        <w:t>原油管道智能计量一体化装置的生产、工业用现场分析小屋成套系统的组装生产</w:t>
      </w:r>
      <w:r>
        <w:rPr>
          <w:rFonts w:hint="eastAsia" w:ascii="宋体" w:hAnsi="宋体"/>
          <w:bCs/>
          <w:szCs w:val="21"/>
          <w:highlight w:val="none"/>
          <w:lang w:val="en-US" w:eastAsia="zh-CN"/>
        </w:rPr>
        <w:t>，原材料检验，加工过程检验，成品出厂检验等均已纳入测量</w:t>
      </w:r>
      <w:r>
        <w:rPr>
          <w:rFonts w:hint="eastAsia" w:ascii="宋体" w:hAnsi="宋体"/>
          <w:bCs/>
          <w:szCs w:val="21"/>
          <w:lang w:val="en-US" w:eastAsia="zh-CN"/>
        </w:rPr>
        <w:t>管理体系中进行管理。重要关键测量过程为</w:t>
      </w:r>
      <w:r>
        <w:rPr>
          <w:rFonts w:hint="eastAsia"/>
          <w:lang w:eastAsia="zh-CN"/>
        </w:rPr>
        <w:t>原油管道智能计量一体化装置密封试验</w:t>
      </w:r>
      <w:r>
        <w:rPr>
          <w:rFonts w:hint="eastAsia" w:ascii="宋体" w:hAnsi="宋体"/>
          <w:bCs/>
          <w:szCs w:val="21"/>
          <w:lang w:val="en-US" w:eastAsia="zh-CN"/>
        </w:rPr>
        <w:t>测量过程，</w:t>
      </w:r>
      <w:r>
        <w:rPr>
          <w:rFonts w:ascii="宋体" w:hAnsi="宋体" w:cs="宋体"/>
          <w:kern w:val="0"/>
          <w:szCs w:val="21"/>
        </w:rPr>
        <w:t>计量要求的导出</w:t>
      </w:r>
      <w:r>
        <w:rPr>
          <w:rFonts w:hint="eastAsia" w:ascii="宋体" w:hAnsi="宋体" w:cs="宋体"/>
          <w:kern w:val="0"/>
          <w:szCs w:val="21"/>
          <w:lang w:eastAsia="zh-CN"/>
        </w:rPr>
        <w:t>，</w:t>
      </w:r>
      <w:r>
        <w:rPr>
          <w:rFonts w:ascii="宋体" w:hAnsi="宋体" w:cs="宋体"/>
          <w:kern w:val="0"/>
          <w:szCs w:val="21"/>
        </w:rPr>
        <w:t>测量不确定评定</w:t>
      </w:r>
      <w:r>
        <w:rPr>
          <w:rFonts w:hint="eastAsia" w:ascii="宋体" w:hAnsi="宋体" w:cs="宋体"/>
          <w:kern w:val="0"/>
          <w:szCs w:val="21"/>
          <w:lang w:eastAsia="zh-CN"/>
        </w:rPr>
        <w:t>，</w:t>
      </w:r>
      <w:r>
        <w:rPr>
          <w:rFonts w:hint="eastAsia" w:ascii="宋体" w:hAnsi="宋体" w:cs="宋体"/>
          <w:kern w:val="0"/>
          <w:szCs w:val="21"/>
        </w:rPr>
        <w:t>有效性确认</w:t>
      </w:r>
      <w:r>
        <w:rPr>
          <w:rFonts w:hint="eastAsia" w:ascii="宋体" w:hAnsi="宋体" w:cs="宋体"/>
          <w:kern w:val="0"/>
          <w:szCs w:val="21"/>
          <w:lang w:eastAsia="zh-CN"/>
        </w:rPr>
        <w:t>，</w:t>
      </w:r>
      <w:r>
        <w:rPr>
          <w:rFonts w:ascii="宋体" w:hAnsi="宋体" w:cs="宋体"/>
          <w:kern w:val="0"/>
          <w:szCs w:val="21"/>
        </w:rPr>
        <w:t>测量过程的控制</w:t>
      </w:r>
      <w:r>
        <w:rPr>
          <w:rFonts w:hint="eastAsia" w:ascii="宋体" w:hAnsi="宋体" w:cs="宋体"/>
          <w:kern w:val="0"/>
          <w:szCs w:val="21"/>
        </w:rPr>
        <w:t xml:space="preserve"> </w:t>
      </w:r>
      <w:r>
        <w:rPr>
          <w:rFonts w:hint="eastAsia" w:ascii="宋体" w:hAnsi="宋体" w:cs="宋体"/>
          <w:kern w:val="0"/>
          <w:szCs w:val="21"/>
          <w:lang w:eastAsia="zh-CN"/>
        </w:rPr>
        <w:t>，</w:t>
      </w:r>
      <w:r>
        <w:rPr>
          <w:rFonts w:ascii="宋体" w:hAnsi="宋体" w:cs="宋体"/>
          <w:kern w:val="0"/>
          <w:szCs w:val="21"/>
        </w:rPr>
        <w:t>测量</w:t>
      </w:r>
      <w:r>
        <w:rPr>
          <w:rFonts w:hint="eastAsia" w:ascii="宋体" w:hAnsi="宋体" w:cs="宋体"/>
          <w:kern w:val="0"/>
          <w:szCs w:val="21"/>
        </w:rPr>
        <w:t>过程的监视</w:t>
      </w:r>
      <w:r>
        <w:rPr>
          <w:rFonts w:hint="eastAsia" w:ascii="宋体" w:hAnsi="宋体" w:cs="宋体"/>
          <w:kern w:val="0"/>
          <w:szCs w:val="21"/>
          <w:lang w:val="en-US" w:eastAsia="zh-CN"/>
        </w:rPr>
        <w:t>等符合要求，经审核表明大庆嘉鸿达石油钻采设备</w:t>
      </w:r>
      <w:r>
        <w:rPr>
          <w:rFonts w:hint="eastAsia" w:ascii="宋体" w:hAnsi="宋体" w:cs="宋体"/>
          <w:kern w:val="0"/>
          <w:szCs w:val="21"/>
        </w:rPr>
        <w:t>有限公司</w:t>
      </w:r>
      <w:r>
        <w:rPr>
          <w:rFonts w:hint="eastAsia" w:ascii="宋体" w:hAnsi="宋体" w:cs="宋体"/>
          <w:kern w:val="0"/>
          <w:szCs w:val="21"/>
          <w:lang w:val="en-US" w:eastAsia="zh-CN"/>
        </w:rPr>
        <w:t>新增</w:t>
      </w:r>
      <w:r>
        <w:rPr>
          <w:rFonts w:hint="eastAsia"/>
          <w:highlight w:val="none"/>
        </w:rPr>
        <w:t>原油管道智能计量一体化装置的生产、工业用现场分析小屋成套系统的组装生产</w:t>
      </w:r>
      <w:r>
        <w:rPr>
          <w:rFonts w:hint="eastAsia" w:ascii="宋体" w:hAnsi="宋体" w:cs="宋体"/>
          <w:kern w:val="0"/>
          <w:szCs w:val="21"/>
          <w:lang w:val="en-US" w:eastAsia="zh-CN"/>
        </w:rPr>
        <w:t>纳入</w:t>
      </w:r>
      <w:r>
        <w:rPr>
          <w:rFonts w:hint="eastAsia" w:ascii="宋体" w:hAnsi="宋体" w:cs="宋体"/>
          <w:kern w:val="0"/>
          <w:szCs w:val="21"/>
        </w:rPr>
        <w:t>测量管理体系，符合GB/T 19022-2003标准要求，对体系运行具有持续的有效性、符合性</w:t>
      </w:r>
      <w:r>
        <w:rPr>
          <w:rFonts w:hint="eastAsia" w:ascii="宋体" w:hAnsi="宋体" w:eastAsia="宋体" w:cs="宋体"/>
          <w:bCs/>
          <w:kern w:val="0"/>
          <w:szCs w:val="21"/>
        </w:rPr>
        <w:t>予以肯定</w:t>
      </w:r>
      <w:r>
        <w:rPr>
          <w:rFonts w:hint="eastAsia" w:ascii="宋体" w:hAnsi="宋体" w:eastAsia="宋体" w:cs="宋体"/>
          <w:bCs/>
          <w:kern w:val="0"/>
          <w:szCs w:val="21"/>
          <w:lang w:eastAsia="zh-CN"/>
        </w:rPr>
        <w:t>，</w:t>
      </w:r>
      <w:r>
        <w:rPr>
          <w:rFonts w:hint="eastAsia" w:ascii="宋体" w:hAnsi="宋体" w:cs="宋体"/>
          <w:bCs/>
          <w:kern w:val="0"/>
          <w:szCs w:val="21"/>
        </w:rPr>
        <w:t>公司在测量管理体系运行方面，管理者代表、组织结构没有变化。</w:t>
      </w:r>
      <w:r>
        <w:rPr>
          <w:rFonts w:hint="eastAsia" w:ascii="宋体" w:hAnsi="宋体" w:eastAsia="宋体" w:cs="宋体"/>
          <w:bCs/>
          <w:kern w:val="0"/>
          <w:szCs w:val="21"/>
        </w:rPr>
        <w:t>建议报请北京国标联合认证有限公司批准通过。</w:t>
      </w:r>
    </w:p>
    <w:p>
      <w:pPr>
        <w:spacing w:line="360" w:lineRule="exact"/>
        <w:rPr>
          <w:rFonts w:hint="default" w:ascii="宋体" w:hAnsi="宋体"/>
          <w:sz w:val="24"/>
          <w:szCs w:val="24"/>
          <w:highlight w:val="none"/>
          <w:lang w:val="en-US" w:eastAsia="zh-CN"/>
        </w:rPr>
      </w:pP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widowControl/>
        <w:spacing w:line="360" w:lineRule="auto"/>
        <w:jc w:val="left"/>
        <w:rPr>
          <w:rFonts w:hint="eastAsia" w:ascii="宋体" w:hAnsi="宋体"/>
          <w:sz w:val="24"/>
          <w:szCs w:val="24"/>
          <w:highlight w:val="none"/>
          <w:shd w:val="clear" w:color="auto" w:fill="auto"/>
        </w:rPr>
      </w:pPr>
      <w:r>
        <w:rPr>
          <w:rFonts w:hint="eastAsia" w:ascii="宋体" w:hAnsi="宋体"/>
          <w:sz w:val="24"/>
          <w:szCs w:val="24"/>
          <w:highlight w:val="none"/>
          <w:shd w:val="clear" w:color="auto" w:fill="auto"/>
          <w:lang w:val="en-US" w:eastAsia="zh-CN"/>
        </w:rPr>
        <w:t>10.</w:t>
      </w:r>
      <w:r>
        <w:rPr>
          <w:rFonts w:hint="eastAsia" w:ascii="宋体" w:hAnsi="宋体"/>
          <w:sz w:val="24"/>
          <w:szCs w:val="24"/>
          <w:highlight w:val="none"/>
          <w:shd w:val="clear" w:color="auto" w:fill="auto"/>
        </w:rPr>
        <w:t xml:space="preserve">本次审核出具一般不符合项 </w:t>
      </w:r>
      <w:r>
        <w:rPr>
          <w:rFonts w:hint="eastAsia" w:ascii="宋体" w:hAnsi="宋体"/>
          <w:sz w:val="24"/>
          <w:szCs w:val="24"/>
          <w:highlight w:val="none"/>
          <w:shd w:val="clear" w:color="auto" w:fill="auto"/>
          <w:lang w:val="en-US" w:eastAsia="zh-CN"/>
        </w:rPr>
        <w:t>一项</w:t>
      </w:r>
      <w:r>
        <w:rPr>
          <w:rFonts w:hint="eastAsia" w:ascii="宋体" w:hAnsi="宋体"/>
          <w:sz w:val="24"/>
          <w:szCs w:val="24"/>
          <w:highlight w:val="none"/>
          <w:shd w:val="clear" w:color="auto" w:fill="auto"/>
        </w:rPr>
        <w:t>，未发现严重或系统性的不符合情况。</w:t>
      </w:r>
    </w:p>
    <w:p>
      <w:pPr>
        <w:widowControl/>
        <w:spacing w:line="360" w:lineRule="auto"/>
        <w:ind w:firstLine="420" w:firstLineChars="200"/>
        <w:jc w:val="left"/>
        <w:rPr>
          <w:rFonts w:hint="eastAsia"/>
          <w:szCs w:val="21"/>
          <w:shd w:val="clear" w:color="auto" w:fill="auto"/>
          <w:lang w:val="en-US" w:eastAsia="zh-CN"/>
        </w:rPr>
      </w:pPr>
      <w:r>
        <w:rPr>
          <w:rFonts w:hint="eastAsia"/>
          <w:szCs w:val="21"/>
          <w:lang w:val="en-US" w:eastAsia="zh-CN"/>
        </w:rPr>
        <w:t>查</w:t>
      </w:r>
      <w:r>
        <w:rPr>
          <w:rFonts w:hint="eastAsia"/>
          <w:szCs w:val="21"/>
          <w:shd w:val="clear" w:color="auto" w:fill="auto"/>
          <w:lang w:val="en-US" w:eastAsia="zh-CN"/>
        </w:rPr>
        <w:t>《计量确认明细表》千分尺（0-25）mm，</w:t>
      </w:r>
      <w:r>
        <w:rPr>
          <w:rFonts w:hint="eastAsia" w:ascii="宋体" w:hAnsi="宋体" w:cs="宋体"/>
          <w:szCs w:val="21"/>
          <w:shd w:val="clear" w:color="auto" w:fill="auto"/>
          <w:lang w:eastAsia="zh-CN"/>
        </w:rPr>
        <w:t>质检部</w:t>
      </w:r>
      <w:r>
        <w:rPr>
          <w:rFonts w:hint="eastAsia"/>
          <w:szCs w:val="21"/>
          <w:shd w:val="clear" w:color="auto" w:fill="auto"/>
          <w:lang w:val="en-US" w:eastAsia="zh-CN"/>
        </w:rPr>
        <w:t>未提供计量确认过程记录，不符合GB/T19022-2003标准中 7.1.4条款“……应证明每台测量设备是否满足规定的计量要求”的规定要求。</w:t>
      </w:r>
    </w:p>
    <w:p>
      <w:pPr>
        <w:widowControl/>
        <w:spacing w:line="360" w:lineRule="auto"/>
        <w:jc w:val="left"/>
        <w:rPr>
          <w:rFonts w:ascii="宋体" w:hAnsi="宋体" w:cs="宋体"/>
          <w:kern w:val="0"/>
          <w:szCs w:val="21"/>
          <w:u w:val="none"/>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10"/>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szCs w:val="21"/>
          <w:u w:val="none"/>
          <w:lang w:val="en-US" w:eastAsia="zh-CN"/>
        </w:rPr>
        <w:t>GB/T19022-2003标准中 7.1.4条款</w:t>
      </w:r>
      <w:r>
        <w:rPr>
          <w:rFonts w:ascii="宋体" w:hAnsi="宋体" w:cs="宋体"/>
          <w:kern w:val="0"/>
          <w:szCs w:val="21"/>
          <w:u w:val="none"/>
        </w:rPr>
        <w:t>_</w:t>
      </w:r>
      <w:r>
        <w:rPr>
          <w:rFonts w:hint="eastAsia" w:ascii="宋体" w:hAnsi="宋体" w:cs="宋体"/>
          <w:kern w:val="0"/>
          <w:szCs w:val="21"/>
          <w:u w:val="none"/>
          <w:lang w:eastAsia="zh-CN"/>
        </w:rPr>
        <w:t>计量确认过程记录</w:t>
      </w:r>
    </w:p>
    <w:p>
      <w:pPr>
        <w:keepNext w:val="0"/>
        <w:keepLines w:val="0"/>
        <w:widowControl/>
        <w:suppressLineNumbers w:val="0"/>
        <w:jc w:val="left"/>
        <w:rPr>
          <w:rFonts w:hint="default" w:ascii="宋体" w:hAnsi="宋体"/>
          <w:sz w:val="24"/>
          <w:szCs w:val="24"/>
          <w:highlight w:val="none"/>
          <w:shd w:val="clear" w:color="FFFFFF" w:fill="D9D9D9"/>
          <w:lang w:val="en-US" w:eastAsia="zh-CN"/>
        </w:rPr>
      </w:pPr>
      <w:r>
        <w:rPr>
          <w:rFonts w:hint="eastAsia" w:ascii="宋体" w:hAnsi="宋体"/>
          <w:sz w:val="24"/>
          <w:szCs w:val="24"/>
          <w:highlight w:val="none"/>
          <w:shd w:val="clear" w:color="auto" w:fill="auto"/>
          <w:lang w:val="en-US" w:eastAsia="zh-CN"/>
        </w:rPr>
        <w:t>11.本企业为非重点用能单位，企业2019年12月至2020年11月耗能5.3吨标煤，企业的能源器具准确度等级2.0级的三相四线电能表和2.5级的水表，满足GB17167标准4.3.8表四的标准要求。</w:t>
      </w:r>
    </w:p>
    <w:p>
      <w:pPr>
        <w:widowControl/>
        <w:spacing w:line="360" w:lineRule="auto"/>
        <w:ind w:firstLine="480" w:firstLineChars="200"/>
        <w:jc w:val="left"/>
        <w:rPr>
          <w:rFonts w:ascii="宋体" w:hAnsi="宋体" w:eastAsia="宋体" w:cs="宋体"/>
          <w:kern w:val="0"/>
          <w:szCs w:val="28"/>
        </w:rPr>
      </w:pPr>
      <w:r>
        <w:rPr>
          <w:rFonts w:hint="eastAsia" w:ascii="宋体" w:hAnsi="宋体" w:eastAsia="宋体"/>
          <w:sz w:val="24"/>
          <w:szCs w:val="24"/>
          <w:highlight w:val="none"/>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pacing w:line="360" w:lineRule="auto"/>
        <w:jc w:val="left"/>
        <w:rPr>
          <w:rFonts w:hint="eastAsia" w:ascii="宋体" w:hAnsi="宋体"/>
          <w:sz w:val="24"/>
          <w:szCs w:val="24"/>
          <w:lang w:eastAsia="zh-CN"/>
        </w:rPr>
      </w:pPr>
      <w:r>
        <w:rPr>
          <w:rStyle w:val="11"/>
          <w:rFonts w:hint="eastAsia" w:ascii="宋体" w:hAnsi="宋体" w:eastAsia="宋体"/>
          <w:color w:val="002060"/>
          <w:sz w:val="24"/>
          <w:szCs w:val="24"/>
          <w:lang w:val="en-US" w:eastAsia="zh-CN"/>
        </w:rPr>
        <w:t xml:space="preserve">   </w:t>
      </w:r>
      <w:r>
        <w:rPr>
          <w:rStyle w:val="11"/>
          <w:rFonts w:hint="eastAsia" w:ascii="宋体" w:hAnsi="宋体" w:eastAsia="宋体"/>
          <w:color w:val="002060"/>
          <w:sz w:val="24"/>
          <w:szCs w:val="24"/>
        </w:rPr>
        <w:t>通过</w:t>
      </w:r>
      <w:r>
        <w:rPr>
          <w:rStyle w:val="11"/>
          <w:rFonts w:hint="eastAsia" w:ascii="宋体" w:hAnsi="宋体" w:eastAsia="宋体"/>
          <w:sz w:val="24"/>
          <w:szCs w:val="24"/>
        </w:rPr>
        <w:t>20</w:t>
      </w:r>
      <w:r>
        <w:rPr>
          <w:rStyle w:val="11"/>
          <w:rFonts w:hint="eastAsia" w:ascii="宋体" w:hAnsi="宋体" w:eastAsia="宋体"/>
          <w:sz w:val="24"/>
          <w:szCs w:val="24"/>
          <w:lang w:val="en-US" w:eastAsia="zh-CN"/>
        </w:rPr>
        <w:t>20</w:t>
      </w:r>
      <w:r>
        <w:rPr>
          <w:rStyle w:val="11"/>
          <w:rFonts w:ascii="宋体" w:hAnsi="宋体" w:eastAsia="宋体"/>
          <w:sz w:val="24"/>
          <w:szCs w:val="24"/>
        </w:rPr>
        <w:t>年</w:t>
      </w:r>
      <w:r>
        <w:rPr>
          <w:rStyle w:val="11"/>
          <w:rFonts w:hint="eastAsia" w:ascii="宋体" w:hAnsi="宋体" w:eastAsia="宋体"/>
          <w:sz w:val="24"/>
          <w:szCs w:val="24"/>
          <w:lang w:val="en-US" w:eastAsia="zh-CN"/>
        </w:rPr>
        <w:t>11</w:t>
      </w:r>
      <w:r>
        <w:rPr>
          <w:rStyle w:val="11"/>
          <w:rFonts w:ascii="宋体" w:hAnsi="宋体" w:eastAsia="宋体"/>
          <w:sz w:val="24"/>
          <w:szCs w:val="24"/>
        </w:rPr>
        <w:t>月</w:t>
      </w:r>
      <w:r>
        <w:rPr>
          <w:rStyle w:val="11"/>
          <w:rFonts w:hint="eastAsia" w:ascii="宋体" w:hAnsi="宋体" w:eastAsia="宋体"/>
          <w:sz w:val="24"/>
          <w:szCs w:val="24"/>
          <w:lang w:val="en-US" w:eastAsia="zh-CN"/>
        </w:rPr>
        <w:t>30</w:t>
      </w:r>
      <w:r>
        <w:rPr>
          <w:rStyle w:val="11"/>
          <w:rFonts w:ascii="宋体" w:hAnsi="宋体" w:eastAsia="宋体"/>
          <w:sz w:val="24"/>
          <w:szCs w:val="24"/>
        </w:rPr>
        <w:t>日</w:t>
      </w:r>
      <w:r>
        <w:rPr>
          <w:rStyle w:val="11"/>
          <w:rFonts w:hint="eastAsia" w:ascii="宋体" w:hAnsi="宋体" w:eastAsia="宋体"/>
          <w:sz w:val="24"/>
          <w:szCs w:val="24"/>
          <w:lang w:val="en-US" w:eastAsia="zh-CN"/>
        </w:rPr>
        <w:t>-12月1日</w:t>
      </w:r>
      <w:r>
        <w:rPr>
          <w:rStyle w:val="11"/>
          <w:rFonts w:hint="eastAsia" w:ascii="宋体" w:hAnsi="宋体" w:eastAsia="宋体"/>
          <w:sz w:val="24"/>
          <w:szCs w:val="24"/>
        </w:rPr>
        <w:t>，</w:t>
      </w:r>
      <w:r>
        <w:rPr>
          <w:rStyle w:val="11"/>
          <w:rFonts w:hint="eastAsia" w:ascii="宋体" w:hAnsi="宋体" w:eastAsia="宋体"/>
          <w:sz w:val="24"/>
          <w:szCs w:val="24"/>
          <w:lang w:val="en-US" w:eastAsia="zh-CN"/>
        </w:rPr>
        <w:t>对</w:t>
      </w:r>
      <w:r>
        <w:rPr>
          <w:rStyle w:val="11"/>
          <w:rFonts w:hint="eastAsia" w:ascii="宋体" w:hAnsi="宋体" w:eastAsia="宋体"/>
          <w:sz w:val="24"/>
          <w:szCs w:val="24"/>
          <w:lang w:eastAsia="zh-CN"/>
        </w:rPr>
        <w:t>大庆嘉鸿达石油钻采设备</w:t>
      </w:r>
      <w:r>
        <w:rPr>
          <w:rStyle w:val="11"/>
          <w:rFonts w:hint="eastAsia" w:ascii="宋体" w:hAnsi="宋体" w:eastAsia="宋体"/>
          <w:sz w:val="24"/>
          <w:szCs w:val="24"/>
        </w:rPr>
        <w:t>有限公司测</w:t>
      </w:r>
      <w:r>
        <w:rPr>
          <w:rStyle w:val="11"/>
          <w:rFonts w:ascii="宋体" w:hAnsi="宋体" w:eastAsia="宋体"/>
          <w:sz w:val="24"/>
          <w:szCs w:val="24"/>
        </w:rPr>
        <w:t>量管理现场</w:t>
      </w:r>
      <w:r>
        <w:rPr>
          <w:rStyle w:val="11"/>
          <w:rFonts w:hint="eastAsia" w:ascii="宋体" w:hAnsi="宋体" w:eastAsia="宋体"/>
          <w:sz w:val="24"/>
          <w:szCs w:val="24"/>
          <w:lang w:val="en-US" w:eastAsia="zh-CN"/>
        </w:rPr>
        <w:t>第1次</w:t>
      </w:r>
      <w:r>
        <w:rPr>
          <w:rStyle w:val="11"/>
          <w:rFonts w:hint="eastAsia" w:ascii="宋体" w:hAnsi="宋体" w:eastAsia="宋体"/>
          <w:sz w:val="24"/>
          <w:szCs w:val="24"/>
        </w:rPr>
        <w:t>监督</w:t>
      </w:r>
      <w:r>
        <w:rPr>
          <w:rStyle w:val="11"/>
          <w:rFonts w:ascii="宋体" w:hAnsi="宋体" w:eastAsia="宋体"/>
          <w:sz w:val="24"/>
          <w:szCs w:val="24"/>
        </w:rPr>
        <w:t>审核</w:t>
      </w:r>
      <w:r>
        <w:rPr>
          <w:rStyle w:val="11"/>
          <w:rFonts w:hint="eastAsia" w:ascii="宋体" w:hAnsi="宋体" w:eastAsia="宋体"/>
          <w:sz w:val="24"/>
          <w:szCs w:val="24"/>
          <w:lang w:val="en-US" w:eastAsia="zh-CN"/>
        </w:rPr>
        <w:t>及扩项审核</w:t>
      </w:r>
      <w:r>
        <w:rPr>
          <w:rFonts w:hint="eastAsia" w:asciiTheme="minorEastAsia" w:hAnsiTheme="minorEastAsia"/>
          <w:bCs/>
          <w:sz w:val="24"/>
          <w:szCs w:val="24"/>
        </w:rPr>
        <w:t>.验证了公司在测量管理体系实现认证后</w:t>
      </w:r>
      <w:r>
        <w:rPr>
          <w:rFonts w:hint="eastAsia" w:asciiTheme="minorEastAsia" w:hAnsiTheme="minorEastAsia"/>
          <w:bCs/>
          <w:sz w:val="24"/>
          <w:szCs w:val="24"/>
          <w:lang w:val="en-US" w:eastAsia="zh-CN"/>
        </w:rPr>
        <w:t>一</w:t>
      </w:r>
      <w:r>
        <w:rPr>
          <w:rFonts w:hint="eastAsia" w:asciiTheme="minorEastAsia" w:hAnsiTheme="minorEastAsia"/>
          <w:bCs/>
          <w:sz w:val="24"/>
          <w:szCs w:val="24"/>
        </w:rPr>
        <w:t>年内</w:t>
      </w:r>
      <w:r>
        <w:rPr>
          <w:rFonts w:hint="eastAsia" w:ascii="宋体" w:hAnsi="宋体"/>
          <w:sz w:val="24"/>
          <w:szCs w:val="24"/>
        </w:rPr>
        <w:t>，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eastAsia="zh-CN"/>
        </w:rPr>
        <w:t>。</w:t>
      </w:r>
    </w:p>
    <w:p>
      <w:pPr>
        <w:spacing w:line="360" w:lineRule="auto"/>
        <w:jc w:val="left"/>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shd w:val="clear" w:color="auto" w:fill="auto"/>
        </w:rPr>
        <w:t>综上所述，</w:t>
      </w:r>
      <w:r>
        <w:rPr>
          <w:rStyle w:val="11"/>
          <w:rFonts w:hint="eastAsia" w:ascii="宋体" w:hAnsi="宋体" w:eastAsia="宋体"/>
          <w:sz w:val="24"/>
          <w:szCs w:val="24"/>
        </w:rPr>
        <w:t>审核组认为</w:t>
      </w:r>
      <w:r>
        <w:rPr>
          <w:rStyle w:val="11"/>
          <w:rFonts w:hint="eastAsia" w:ascii="宋体" w:hAnsi="宋体" w:eastAsia="宋体"/>
          <w:sz w:val="24"/>
          <w:szCs w:val="24"/>
          <w:lang w:eastAsia="zh-CN"/>
        </w:rPr>
        <w:t>大庆嘉鸿达石油钻采设备</w:t>
      </w:r>
      <w:r>
        <w:rPr>
          <w:rStyle w:val="11"/>
          <w:rFonts w:hint="eastAsia" w:ascii="宋体" w:hAnsi="宋体" w:eastAsia="宋体"/>
          <w:sz w:val="24"/>
          <w:szCs w:val="24"/>
        </w:rPr>
        <w:t>有限公司测</w:t>
      </w:r>
      <w:r>
        <w:rPr>
          <w:rFonts w:hint="eastAsia" w:ascii="宋体" w:hAnsi="宋体"/>
          <w:sz w:val="24"/>
          <w:szCs w:val="24"/>
        </w:rPr>
        <w:t>量管理体系，符合GB/T 19022-2003标准要求，对体系运行具有持续的有效性、符合性予以肯定。建议报请国标联合认证有限公司批准通过监督审核。</w:t>
      </w:r>
    </w:p>
    <w:p>
      <w:pPr>
        <w:spacing w:line="360" w:lineRule="auto"/>
        <w:ind w:firstLine="480"/>
        <w:jc w:val="left"/>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另为了促进支持企业测量管理体系持续提高，建议企业对测量管理体系加强学习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hint="default" w:ascii="宋体" w:hAnsi="宋体" w:eastAsia="宋体" w:cs="宋体"/>
          <w:kern w:val="0"/>
          <w:szCs w:val="28"/>
          <w:lang w:val="en-US" w:eastAsia="zh-CN"/>
        </w:rPr>
      </w:pP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2020.12.1</w:t>
      </w:r>
      <w:bookmarkStart w:id="1" w:name="_GoBack"/>
      <w:bookmarkEnd w:id="1"/>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szCs w:val="21"/>
      </w:rPr>
      <w:t xml:space="preserve">   </w:t>
    </w:r>
    <w:r>
      <w:rPr>
        <w:rStyle w:val="9"/>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9"/>
        <w:rFonts w:hint="default" w:ascii="Times New Roman" w:hAnsi="Times New Roman" w:cs="Times New Roman"/>
        <w:szCs w:val="21"/>
      </w:rPr>
      <w:t xml:space="preserve">   </w:t>
    </w:r>
    <w:r>
      <w:rPr>
        <w:rStyle w:val="9"/>
        <w:rFonts w:hint="default" w:ascii="Times New Roman" w:hAnsi="Times New Roman" w:cs="Times New Roman"/>
        <w:w w:val="80"/>
        <w:szCs w:val="21"/>
      </w:rPr>
      <w:t xml:space="preserve">Beijing International Standard united Certification Co.,Ltd. </w:t>
    </w:r>
    <w:r>
      <w:rPr>
        <w:rStyle w:val="9"/>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52DDC"/>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557110C"/>
    <w:rsid w:val="0BF45514"/>
    <w:rsid w:val="0E8C5939"/>
    <w:rsid w:val="10160E7C"/>
    <w:rsid w:val="138501A6"/>
    <w:rsid w:val="14575BEE"/>
    <w:rsid w:val="14EA6CB3"/>
    <w:rsid w:val="17A323A1"/>
    <w:rsid w:val="18321399"/>
    <w:rsid w:val="1D5E1F47"/>
    <w:rsid w:val="1D9A2E7B"/>
    <w:rsid w:val="1DD97BCA"/>
    <w:rsid w:val="1E2774C7"/>
    <w:rsid w:val="20721A7B"/>
    <w:rsid w:val="23881FD2"/>
    <w:rsid w:val="246E16E9"/>
    <w:rsid w:val="267B10B4"/>
    <w:rsid w:val="27554591"/>
    <w:rsid w:val="28826509"/>
    <w:rsid w:val="2A55179D"/>
    <w:rsid w:val="2ACB2E5B"/>
    <w:rsid w:val="2BB2587D"/>
    <w:rsid w:val="2CE95702"/>
    <w:rsid w:val="308C462A"/>
    <w:rsid w:val="31DB01B3"/>
    <w:rsid w:val="321D6989"/>
    <w:rsid w:val="328D5808"/>
    <w:rsid w:val="33165AEF"/>
    <w:rsid w:val="34121D67"/>
    <w:rsid w:val="365A3F08"/>
    <w:rsid w:val="36C43AD4"/>
    <w:rsid w:val="37774C67"/>
    <w:rsid w:val="3B043B6A"/>
    <w:rsid w:val="3B957282"/>
    <w:rsid w:val="3BB67694"/>
    <w:rsid w:val="3C9F7C5C"/>
    <w:rsid w:val="3EBB7FAC"/>
    <w:rsid w:val="3EC25B56"/>
    <w:rsid w:val="4024179D"/>
    <w:rsid w:val="41300BAF"/>
    <w:rsid w:val="41D90F13"/>
    <w:rsid w:val="458C7BB0"/>
    <w:rsid w:val="49C14E74"/>
    <w:rsid w:val="4A8A2F7C"/>
    <w:rsid w:val="4AC82697"/>
    <w:rsid w:val="4B005FF0"/>
    <w:rsid w:val="4F757019"/>
    <w:rsid w:val="4FF60B62"/>
    <w:rsid w:val="51C16409"/>
    <w:rsid w:val="53236AFC"/>
    <w:rsid w:val="547533AA"/>
    <w:rsid w:val="557F1C85"/>
    <w:rsid w:val="55C92FC9"/>
    <w:rsid w:val="55F76284"/>
    <w:rsid w:val="56896C6B"/>
    <w:rsid w:val="58082CF0"/>
    <w:rsid w:val="5896057E"/>
    <w:rsid w:val="58D26344"/>
    <w:rsid w:val="59E04C98"/>
    <w:rsid w:val="5BA410AD"/>
    <w:rsid w:val="5C2C0776"/>
    <w:rsid w:val="5F1C7C1A"/>
    <w:rsid w:val="5FB81639"/>
    <w:rsid w:val="5FCA3BA5"/>
    <w:rsid w:val="61854963"/>
    <w:rsid w:val="61A667FC"/>
    <w:rsid w:val="61EA6C4C"/>
    <w:rsid w:val="67D506DB"/>
    <w:rsid w:val="693568F0"/>
    <w:rsid w:val="707F0D4F"/>
    <w:rsid w:val="72B445E8"/>
    <w:rsid w:val="74832446"/>
    <w:rsid w:val="74BF4AAE"/>
    <w:rsid w:val="7AAE132C"/>
    <w:rsid w:val="7BAC1EE6"/>
    <w:rsid w:val="7FB13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3</TotalTime>
  <ScaleCrop>false</ScaleCrop>
  <LinksUpToDate>false</LinksUpToDate>
  <CharactersWithSpaces>748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2020-12-01T01:05:17Z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