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四川蜀畅达肉类食品有限责任公司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蒋得元</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重庆亿口鲜实业有限公司</w:t>
            </w:r>
          </w:p>
        </w:tc>
        <w:tc>
          <w:tcPr>
            <w:tcW w:w="1728" w:type="dxa"/>
            <w:gridSpan w:val="2"/>
            <w:vAlign w:val="center"/>
          </w:tcPr>
          <w:p>
            <w:pPr>
              <w:jc w:val="center"/>
              <w:rPr>
                <w:b/>
                <w:sz w:val="21"/>
                <w:szCs w:val="21"/>
              </w:rPr>
            </w:pPr>
            <w:r>
              <w:rPr>
                <w:b/>
                <w:sz w:val="21"/>
                <w:szCs w:val="21"/>
              </w:rPr>
              <w:t>03.01.01</w:t>
            </w:r>
          </w:p>
        </w:tc>
        <w:tc>
          <w:tcPr>
            <w:tcW w:w="1729" w:type="dxa"/>
            <w:gridSpan w:val="2"/>
            <w:vAlign w:val="center"/>
          </w:tcPr>
          <w:p>
            <w:pPr>
              <w:jc w:val="center"/>
              <w:rPr>
                <w:b/>
                <w:sz w:val="21"/>
                <w:szCs w:val="21"/>
              </w:rPr>
            </w:pPr>
            <w:r>
              <w:rPr>
                <w:b/>
                <w:sz w:val="21"/>
                <w:szCs w:val="21"/>
              </w:rPr>
              <w:t>ISC-JSZJ-071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四川蜀畅达肉类食品有限责任公司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12" w:name="体系人数"/>
            <w:r>
              <w:rPr>
                <w:color w:val="000000"/>
                <w:szCs w:val="21"/>
              </w:rPr>
              <w:t>35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3" w:name="注册地址"/>
            <w:r>
              <w:rPr>
                <w:rFonts w:ascii="宋体"/>
                <w:b/>
                <w:color w:val="auto"/>
                <w:sz w:val="21"/>
              </w:rPr>
              <w:t>四川省内江市资中县明心寺镇</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641200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四川省内江市资中县明心寺镇</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641200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四川省内江市资中县明心寺镇</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641200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万秋萍</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0832-8165666</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韦富强</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ascii="宋体" w:hAnsi="宋体" w:cs="Times New Roman"/>
                <w:b/>
                <w:sz w:val="21"/>
                <w:szCs w:val="21"/>
                <w:lang w:val="en-US" w:eastAsia="zh-CN"/>
              </w:rPr>
              <w:t>韦富强</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刘敏</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2020年12月04日 上午至2020年12月04日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cs="Times New Roman"/>
                <w:b/>
                <w:sz w:val="21"/>
                <w:szCs w:val="21"/>
              </w:rPr>
              <w:t>QMS</w:t>
            </w:r>
            <w:r>
              <w:rPr>
                <w:rFonts w:hint="eastAsia" w:ascii="宋体" w:hAnsi="宋体" w:cs="Times New Roman"/>
                <w:b/>
                <w:sz w:val="21"/>
                <w:szCs w:val="21"/>
              </w:rPr>
              <w:t>：</w:t>
            </w:r>
            <w:bookmarkStart w:id="26" w:name="审核范围"/>
            <w:r>
              <w:rPr>
                <w:rFonts w:hint="eastAsia" w:ascii="宋体" w:hAnsi="宋体" w:cs="Times New Roman"/>
                <w:b/>
                <w:sz w:val="21"/>
                <w:szCs w:val="21"/>
              </w:rPr>
              <w:t>牛的屠宰及加工</w:t>
            </w:r>
            <w:bookmarkEnd w:id="26"/>
            <w:r>
              <w:rPr>
                <w:rFonts w:hint="eastAsia" w:ascii="宋体" w:hAnsi="宋体" w:cs="Times New Roman"/>
                <w:b/>
                <w:sz w:val="21"/>
                <w:szCs w:val="21"/>
              </w:rPr>
              <w:t xml:space="preserve"> </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03.01.01</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cs="Times New Roman"/>
                <w:b/>
                <w:sz w:val="21"/>
                <w:szCs w:val="21"/>
              </w:rPr>
            </w:pPr>
            <w:r>
              <w:rPr>
                <w:rFonts w:ascii="宋体" w:hAnsi="宋体" w:cs="Times New Roman"/>
                <w:b/>
                <w:sz w:val="21"/>
                <w:szCs w:val="21"/>
              </w:rPr>
              <w:t>2019-12-18</w:t>
            </w:r>
          </w:p>
        </w:tc>
        <w:tc>
          <w:tcPr>
            <w:tcW w:w="1672" w:type="dxa"/>
            <w:vAlign w:val="center"/>
          </w:tcPr>
          <w:p>
            <w:pPr>
              <w:spacing w:line="260" w:lineRule="exact"/>
              <w:rPr>
                <w:rFonts w:ascii="宋体" w:hAnsi="宋体" w:cs="Times New Roman"/>
                <w:b/>
                <w:sz w:val="21"/>
                <w:szCs w:val="21"/>
              </w:rPr>
            </w:pPr>
            <w:r>
              <w:rPr>
                <w:rFonts w:hint="eastAsia" w:ascii="宋体" w:hAnsi="宋体" w:cs="Times New Roman"/>
                <w:b/>
                <w:sz w:val="21"/>
                <w:szCs w:val="21"/>
              </w:rPr>
              <w:t>上年度</w:t>
            </w:r>
          </w:p>
          <w:p>
            <w:pPr>
              <w:spacing w:line="260" w:lineRule="exact"/>
              <w:rPr>
                <w:rFonts w:ascii="宋体" w:hAnsi="宋体" w:cs="Times New Roman"/>
                <w:b/>
                <w:sz w:val="21"/>
                <w:szCs w:val="21"/>
              </w:rPr>
            </w:pPr>
            <w:r>
              <w:rPr>
                <w:rFonts w:hint="eastAsia" w:ascii="宋体" w:hAnsi="宋体" w:cs="Times New Roman"/>
                <w:b/>
                <w:sz w:val="21"/>
                <w:szCs w:val="21"/>
              </w:rPr>
              <w:t>审核日期</w:t>
            </w:r>
          </w:p>
        </w:tc>
        <w:tc>
          <w:tcPr>
            <w:tcW w:w="1500" w:type="dxa"/>
          </w:tcPr>
          <w:p>
            <w:pPr>
              <w:spacing w:line="260" w:lineRule="exact"/>
              <w:rPr>
                <w:rFonts w:ascii="宋体" w:hAnsi="宋体" w:cs="Times New Roman"/>
                <w:b/>
                <w:sz w:val="21"/>
                <w:szCs w:val="21"/>
              </w:rPr>
            </w:pPr>
            <w:r>
              <w:rPr>
                <w:rFonts w:ascii="宋体" w:hAnsi="宋体" w:cs="Times New Roman"/>
                <w:b/>
                <w:sz w:val="21"/>
                <w:szCs w:val="21"/>
              </w:rPr>
              <w:t>2021-12-12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2019年12月18日至2020年12月04日。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leftChars="0" w:right="113" w:rightChars="0"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b/>
                <w:color w:val="000000"/>
                <w:sz w:val="20"/>
                <w:lang w:eastAsia="zh-CN"/>
              </w:rPr>
            </w:pPr>
            <w:r>
              <w:rPr>
                <w:b/>
                <w:color w:val="000000"/>
                <w:sz w:val="20"/>
              </w:rPr>
              <w:t>1</w:t>
            </w:r>
            <w:r>
              <w:rPr>
                <w:rFonts w:hint="eastAsia"/>
                <w:b/>
                <w:color w:val="000000"/>
                <w:sz w:val="20"/>
                <w:lang w:eastAsia="zh-CN"/>
              </w:rPr>
              <w:t>.</w:t>
            </w:r>
            <w:r>
              <w:rPr>
                <w:rFonts w:hint="eastAsia"/>
                <w:b/>
                <w:color w:val="000000"/>
                <w:sz w:val="20"/>
              </w:rPr>
              <w:t>组织及其环境的识别情况</w:t>
            </w:r>
            <w:r>
              <w:rPr>
                <w:rFonts w:hint="eastAsia"/>
                <w:b/>
                <w:color w:val="000000"/>
                <w:sz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lang w:eastAsia="zh-CN"/>
              </w:rPr>
              <w:t>四川蜀畅达肉类食品有限责任公司,2017年08月09日成立，经营范围包括屠宰及肉类加工；饲料加工；销售饲料；互联网销售食品；道路货物运输；肉、禽、蛋、奶及水产品批发；加工、销售：肉制品及副产品；养殖、收购、销售：家禽；正餐服务；进出口贸易；低温仓储。（依法须经批准的项目，经相关部门批准后方可开展经营活动），经营状况良好。组织对内外部因素、相关方需求和期望进行了充分的识别，策划和实施有效。组织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40" w:lineRule="exact"/>
              <w:rPr>
                <w:rFonts w:hint="eastAsia"/>
                <w:b/>
                <w:color w:val="000000"/>
                <w:sz w:val="20"/>
                <w:lang w:eastAsia="zh-CN"/>
              </w:rPr>
            </w:pPr>
            <w:r>
              <w:rPr>
                <w:rFonts w:hint="eastAsia"/>
                <w:b/>
                <w:color w:val="000000"/>
                <w:sz w:val="20"/>
                <w:lang w:val="en-US" w:eastAsia="zh-CN"/>
              </w:rPr>
              <w:t>2.</w:t>
            </w:r>
            <w:r>
              <w:rPr>
                <w:rFonts w:hint="eastAsia"/>
                <w:b/>
                <w:color w:val="000000"/>
                <w:sz w:val="20"/>
              </w:rPr>
              <w:t>相关方需求和期望识别情况</w:t>
            </w:r>
            <w:r>
              <w:rPr>
                <w:rFonts w:hint="eastAsia"/>
                <w:b/>
                <w:color w:val="000000"/>
                <w:sz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谈心、茶话会等；理解银行等相关方的形式主要为电话沟通、上门拜访等；员工关注的主要问题有工资、待遇、晋升机制、福利等，供应商关注的主要问题是回款时间等。顾客</w:t>
            </w:r>
            <w:r>
              <w:rPr>
                <w:rFonts w:hint="eastAsia" w:ascii="宋体" w:hAnsi="宋体" w:cs="宋体"/>
                <w:color w:val="000000"/>
                <w:sz w:val="21"/>
                <w:szCs w:val="21"/>
                <w:lang w:eastAsia="zh-CN"/>
              </w:rPr>
              <w:t>等</w:t>
            </w:r>
            <w:r>
              <w:rPr>
                <w:rFonts w:hint="eastAsia" w:ascii="宋体" w:hAnsi="宋体" w:cs="宋体"/>
                <w:color w:val="000000"/>
                <w:sz w:val="21"/>
                <w:szCs w:val="21"/>
              </w:rPr>
              <w:t>相关方需求和期望</w:t>
            </w:r>
            <w:r>
              <w:rPr>
                <w:rFonts w:hint="eastAsia" w:ascii="宋体" w:hAnsi="宋体" w:cs="宋体"/>
                <w:color w:val="000000"/>
                <w:sz w:val="21"/>
                <w:szCs w:val="21"/>
                <w:lang w:eastAsia="zh-CN"/>
              </w:rPr>
              <w:t>主要为</w:t>
            </w:r>
            <w:r>
              <w:rPr>
                <w:rFonts w:hint="eastAsia" w:ascii="宋体" w:hAnsi="宋体" w:cs="宋体"/>
                <w:color w:val="000000"/>
                <w:sz w:val="21"/>
                <w:szCs w:val="21"/>
              </w:rPr>
              <w:t>产品质量符合要求、及时交货、价格合理、服务及时</w:t>
            </w:r>
            <w:r>
              <w:rPr>
                <w:rFonts w:hint="eastAsia" w:ascii="宋体" w:hAnsi="宋体" w:cs="宋体"/>
                <w:color w:val="000000"/>
                <w:sz w:val="21"/>
                <w:szCs w:val="21"/>
                <w:lang w:eastAsia="zh-CN"/>
              </w:rPr>
              <w:t>等</w:t>
            </w:r>
            <w:r>
              <w:rPr>
                <w:rFonts w:hint="eastAsia" w:ascii="宋体" w:hAnsi="宋体" w:cs="宋体"/>
                <w:color w:val="000000"/>
                <w:sz w:val="21"/>
                <w:szCs w:val="21"/>
              </w:rPr>
              <w:t>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360" w:lineRule="auto"/>
              <w:rPr>
                <w:b/>
                <w:sz w:val="20"/>
              </w:rPr>
            </w:pPr>
            <w:r>
              <w:rPr>
                <w:rFonts w:hint="eastAsia"/>
                <w:b/>
                <w:spacing w:val="-10"/>
                <w:szCs w:val="21"/>
                <w:lang w:val="en-US" w:eastAsia="zh-CN"/>
              </w:rPr>
              <w:t>3.</w:t>
            </w:r>
            <w:r>
              <w:rPr>
                <w:rFonts w:hint="eastAsia"/>
                <w:b/>
                <w:spacing w:val="-10"/>
                <w:szCs w:val="21"/>
                <w:lang w:eastAsia="zh-CN"/>
              </w:rPr>
              <w:t>☑</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w:t>
            </w:r>
            <w:r>
              <w:rPr>
                <w:rFonts w:hint="eastAsia" w:ascii="宋体" w:hAnsi="宋体"/>
                <w:b/>
                <w:szCs w:val="21"/>
                <w:lang w:eastAsia="zh-CN"/>
              </w:rPr>
              <w:t>组织的质量方针为：</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质量为本   顾客至上  科学管理   守法经营</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控制危害   旨在安全  持续改进   追求卓越</w:t>
            </w:r>
          </w:p>
          <w:p>
            <w:pPr>
              <w:spacing w:line="360" w:lineRule="auto"/>
              <w:ind w:firstLine="420" w:firstLineChars="200"/>
              <w:jc w:val="left"/>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80" w:lineRule="exact"/>
              <w:ind w:leftChars="0"/>
              <w:rPr>
                <w:rFonts w:hint="eastAsia"/>
                <w:b/>
                <w:color w:val="000000"/>
                <w:lang w:eastAsia="zh-CN"/>
              </w:rPr>
            </w:pPr>
            <w:r>
              <w:rPr>
                <w:rFonts w:hint="eastAsia"/>
                <w:b/>
                <w:color w:val="000000"/>
                <w:lang w:val="en-US" w:eastAsia="zh-CN"/>
              </w:rPr>
              <w:t>4.</w:t>
            </w:r>
            <w:r>
              <w:rPr>
                <w:rFonts w:hint="eastAsia"/>
                <w:b/>
                <w:color w:val="000000"/>
              </w:rPr>
              <w:t>风险识别与控制策划</w:t>
            </w:r>
            <w:r>
              <w:rPr>
                <w:rFonts w:hint="eastAsia"/>
                <w:b/>
                <w:color w:val="000000"/>
                <w:lang w:eastAsia="zh-CN"/>
              </w:rPr>
              <w:t>：</w:t>
            </w:r>
          </w:p>
          <w:p>
            <w:pPr>
              <w:numPr>
                <w:ilvl w:val="0"/>
                <w:numId w:val="0"/>
              </w:numPr>
              <w:spacing w:line="280" w:lineRule="exact"/>
              <w:ind w:left="0" w:leftChars="0"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b/>
                <w:szCs w:val="21"/>
              </w:rPr>
              <w:t>5</w:t>
            </w:r>
            <w:r>
              <w:rPr>
                <w:rFonts w:hint="eastAsia"/>
                <w:b/>
                <w:szCs w:val="21"/>
                <w:lang w:eastAsia="zh-CN"/>
              </w:rPr>
              <w:t>.</w:t>
            </w:r>
            <w:r>
              <w:rPr>
                <w:b/>
                <w:szCs w:val="21"/>
              </w:rPr>
              <w:t>QMS</w:t>
            </w:r>
            <w:r>
              <w:rPr>
                <w:rFonts w:hint="eastAsia" w:ascii="宋体" w:hAnsi="宋体"/>
                <w:b/>
                <w:szCs w:val="21"/>
              </w:rPr>
              <w:t>过程</w:t>
            </w:r>
          </w:p>
          <w:p>
            <w:pPr>
              <w:widowControl/>
              <w:numPr>
                <w:ilvl w:val="0"/>
                <w:numId w:val="0"/>
              </w:numPr>
              <w:spacing w:line="400" w:lineRule="exact"/>
              <w:rPr>
                <w:rFonts w:hint="eastAsia" w:ascii="宋体" w:hAnsi="宋体"/>
                <w:b/>
                <w:szCs w:val="21"/>
              </w:rPr>
            </w:pPr>
            <w:r>
              <w:rPr>
                <w:rFonts w:hint="eastAsia" w:ascii="宋体" w:hAnsi="宋体"/>
                <w:b/>
                <w:szCs w:val="21"/>
              </w:rPr>
              <w:t>质量管理体系过程有：</w:t>
            </w:r>
          </w:p>
          <w:p>
            <w:pPr>
              <w:widowControl/>
              <w:spacing w:line="400" w:lineRule="exact"/>
              <w:rPr>
                <w:rFonts w:hint="eastAsia" w:ascii="宋体" w:hAnsi="宋体" w:cs="Arial"/>
                <w:sz w:val="21"/>
                <w:szCs w:val="21"/>
              </w:rPr>
            </w:pPr>
            <w:r>
              <w:rPr>
                <w:rFonts w:hint="eastAsia" w:ascii="宋体" w:hAnsi="宋体" w:cs="Arial"/>
                <w:sz w:val="21"/>
                <w:szCs w:val="21"/>
              </w:rPr>
              <w:t>牛的宰杀</w:t>
            </w:r>
          </w:p>
          <w:p>
            <w:pPr>
              <w:widowControl/>
              <w:spacing w:line="400" w:lineRule="exact"/>
              <w:rPr>
                <w:rFonts w:hint="eastAsia" w:ascii="宋体" w:hAnsi="宋体" w:cs="Arial"/>
                <w:sz w:val="21"/>
                <w:szCs w:val="21"/>
              </w:rPr>
            </w:pPr>
            <w:r>
              <w:rPr>
                <w:rFonts w:hint="eastAsia" w:ascii="宋体" w:hAnsi="宋体" w:cs="Arial"/>
                <w:sz w:val="21"/>
                <w:szCs w:val="21"/>
              </w:rPr>
              <w:t>宰前检验--击晕—放血—悬挂去蹄、结扎肛门--去头--扎食管-剥皮-开膛-宰后检验</w:t>
            </w:r>
          </w:p>
          <w:p>
            <w:pPr>
              <w:widowControl/>
              <w:spacing w:line="400" w:lineRule="exact"/>
              <w:rPr>
                <w:rFonts w:hint="eastAsia" w:ascii="宋体" w:hAnsi="宋体" w:cs="Arial"/>
                <w:sz w:val="21"/>
                <w:szCs w:val="21"/>
              </w:rPr>
            </w:pPr>
            <w:r>
              <w:rPr>
                <w:rFonts w:hint="eastAsia" w:ascii="宋体" w:hAnsi="宋体" w:cs="Arial"/>
                <w:sz w:val="21"/>
                <w:szCs w:val="21"/>
              </w:rPr>
              <w:t>牛的加工</w:t>
            </w:r>
          </w:p>
          <w:p>
            <w:pPr>
              <w:widowControl/>
              <w:numPr>
                <w:ilvl w:val="0"/>
                <w:numId w:val="0"/>
              </w:numPr>
              <w:spacing w:line="400" w:lineRule="exact"/>
              <w:ind w:leftChars="0"/>
              <w:rPr>
                <w:rFonts w:hint="eastAsia" w:ascii="宋体" w:hAnsi="宋体" w:cs="Arial"/>
                <w:sz w:val="21"/>
                <w:szCs w:val="21"/>
                <w:lang w:val="en-US" w:eastAsia="zh-CN"/>
              </w:rPr>
            </w:pPr>
            <w:r>
              <w:rPr>
                <w:rFonts w:hint="eastAsia" w:ascii="宋体" w:hAnsi="宋体" w:cs="Arial"/>
                <w:sz w:val="21"/>
                <w:szCs w:val="21"/>
              </w:rPr>
              <w:t>劈半-修整-冲淋-排酸-劈四分体-剔骨分割-内包装-真空热浸-外包装-金属探测-成品检验</w:t>
            </w:r>
          </w:p>
          <w:p>
            <w:pPr>
              <w:tabs>
                <w:tab w:val="left" w:pos="540"/>
              </w:tabs>
              <w:spacing w:line="300" w:lineRule="exact"/>
              <w:ind w:left="241" w:hanging="241" w:hangingChars="100"/>
              <w:rPr>
                <w:rFonts w:ascii="宋体" w:hAns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ascii="宋体" w:hAnsi="宋体"/>
                <w:b/>
                <w:szCs w:val="21"/>
                <w:u w:val="single"/>
                <w:lang w:val="en-US" w:eastAsia="zh-CN"/>
              </w:rPr>
              <w:t xml:space="preserve"> </w:t>
            </w:r>
            <w:r>
              <w:rPr>
                <w:rFonts w:hint="eastAsia" w:ascii="宋体" w:hAnsi="宋体" w:cs="宋体"/>
                <w:color w:val="000000"/>
                <w:sz w:val="21"/>
                <w:szCs w:val="21"/>
                <w:u w:val="single"/>
                <w:lang w:val="en-US" w:eastAsia="zh-CN"/>
              </w:rPr>
              <w:t>排酸过程</w:t>
            </w:r>
            <w:r>
              <w:rPr>
                <w:rFonts w:ascii="宋体" w:hAnsi="宋体"/>
                <w:b/>
                <w:szCs w:val="21"/>
                <w:u w:val="single"/>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cs="宋体"/>
                <w:color w:val="000000"/>
                <w:sz w:val="21"/>
                <w:szCs w:val="21"/>
                <w:u w:val="single"/>
                <w:lang w:val="en-US" w:eastAsia="zh-CN"/>
              </w:rPr>
              <w:t xml:space="preserve"> 无 </w:t>
            </w:r>
            <w:r>
              <w:rPr>
                <w:rFonts w:ascii="宋体" w:hAnsi="宋体"/>
                <w:b/>
                <w:szCs w:val="21"/>
                <w:u w:val="single"/>
              </w:rPr>
              <w:t xml:space="preserve">  </w:t>
            </w:r>
          </w:p>
          <w:p>
            <w:pPr>
              <w:tabs>
                <w:tab w:val="left" w:pos="540"/>
              </w:tabs>
              <w:spacing w:line="300" w:lineRule="exact"/>
              <w:ind w:left="240" w:leftChars="0" w:hanging="240" w:hangingChars="100"/>
              <w:rPr>
                <w:rFonts w:ascii="宋体" w:hAnsi="宋体"/>
                <w:b/>
                <w:sz w:val="21"/>
                <w:szCs w:val="21"/>
              </w:rPr>
            </w:pPr>
            <w:r>
              <w:pict>
                <v:shape id="_x0000_s2051" o:spid="_x0000_s2051" o:spt="32" type="#_x0000_t32" style="position:absolute;left:0pt;margin-left:55.15pt;margin-top:12.75pt;height:0pt;width:42pt;z-index:16384;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lang w:val="en-US" w:eastAsia="zh-CN"/>
              </w:rPr>
              <w:t>8.3</w:t>
            </w:r>
            <w:r>
              <w:rPr>
                <w:rFonts w:ascii="宋体" w:hAnsi="宋体"/>
                <w:b/>
                <w:szCs w:val="21"/>
              </w:rPr>
              <w:t xml:space="preserve">      </w:t>
            </w:r>
            <w:r>
              <w:rPr>
                <w:rFonts w:hint="eastAsia" w:ascii="宋体" w:hAnsi="宋体"/>
                <w:b/>
                <w:szCs w:val="21"/>
              </w:rPr>
              <w:t>，</w:t>
            </w:r>
            <w:r>
              <w:rPr>
                <w:rFonts w:hint="eastAsia" w:ascii="宋体" w:hAnsi="宋体"/>
                <w:b/>
                <w:szCs w:val="21"/>
                <w:u w:val="none"/>
              </w:rPr>
              <w:t>删减理由：</w:t>
            </w:r>
            <w:r>
              <w:rPr>
                <w:rFonts w:hint="eastAsia" w:ascii="宋体" w:hAnsi="宋体" w:cs="宋体"/>
                <w:sz w:val="21"/>
                <w:szCs w:val="21"/>
                <w:u w:val="single"/>
              </w:rPr>
              <w:t>公</w:t>
            </w:r>
            <w:r>
              <w:rPr>
                <w:rFonts w:hint="eastAsia" w:ascii="宋体" w:hAnsi="宋体"/>
                <w:sz w:val="21"/>
                <w:szCs w:val="21"/>
                <w:u w:val="single"/>
              </w:rPr>
              <w:t>司牛的屠宰及加工</w:t>
            </w:r>
            <w:r>
              <w:rPr>
                <w:rFonts w:hint="eastAsia" w:ascii="宋体" w:hAnsi="宋体"/>
                <w:sz w:val="21"/>
                <w:szCs w:val="21"/>
                <w:u w:val="single"/>
                <w:lang w:val="en-US" w:eastAsia="zh-CN"/>
              </w:rPr>
              <w:t>按国家标准、</w:t>
            </w:r>
            <w:r>
              <w:rPr>
                <w:rFonts w:hint="eastAsia" w:ascii="宋体" w:hAnsi="宋体"/>
                <w:sz w:val="21"/>
                <w:szCs w:val="21"/>
                <w:u w:val="single"/>
              </w:rPr>
              <w:t>要求进行生产</w:t>
            </w:r>
            <w:r>
              <w:rPr>
                <w:rFonts w:hint="eastAsia" w:ascii="宋体" w:hAnsi="宋体"/>
                <w:sz w:val="21"/>
                <w:szCs w:val="21"/>
                <w:u w:val="single"/>
                <w:lang w:eastAsia="zh-CN"/>
              </w:rPr>
              <w:t>、</w:t>
            </w:r>
            <w:r>
              <w:rPr>
                <w:rFonts w:hint="eastAsia" w:ascii="宋体" w:hAnsi="宋体" w:cs="宋体"/>
                <w:sz w:val="21"/>
                <w:szCs w:val="21"/>
                <w:u w:val="single"/>
              </w:rPr>
              <w:t>工艺成熟</w:t>
            </w:r>
            <w:r>
              <w:rPr>
                <w:rFonts w:hint="eastAsia" w:ascii="宋体" w:hAnsi="宋体" w:cs="宋体"/>
                <w:sz w:val="21"/>
                <w:szCs w:val="21"/>
                <w:u w:val="single"/>
                <w:lang w:eastAsia="zh-CN"/>
              </w:rPr>
              <w:t>、</w:t>
            </w:r>
            <w:r>
              <w:rPr>
                <w:rFonts w:hint="eastAsia" w:ascii="宋体" w:hAnsi="宋体" w:cs="宋体"/>
                <w:sz w:val="21"/>
                <w:szCs w:val="21"/>
                <w:u w:val="single"/>
                <w:lang w:val="en-US" w:eastAsia="zh-CN"/>
              </w:rPr>
              <w:t>模式固定、</w:t>
            </w:r>
            <w:r>
              <w:rPr>
                <w:rFonts w:hint="eastAsia" w:ascii="宋体" w:hAnsi="宋体" w:cs="宋体"/>
                <w:sz w:val="21"/>
                <w:szCs w:val="21"/>
                <w:u w:val="single"/>
              </w:rPr>
              <w:t>不涉及设计，不适用，理由合理。</w:t>
            </w:r>
            <w:r>
              <w:rPr>
                <w:rFonts w:ascii="宋体" w:hAnsi="宋体"/>
                <w:b/>
                <w:szCs w:val="21"/>
                <w:u w:val="single"/>
              </w:rPr>
              <w:t xml:space="preserve">  </w:t>
            </w:r>
            <w:r>
              <w:rPr>
                <w:rFonts w:ascii="宋体" w:hAnsi="宋体"/>
                <w:b/>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rFonts w:ascii="宋体" w:hAnsi="宋体"/>
                <w:b/>
                <w:sz w:val="21"/>
                <w:szCs w:val="21"/>
              </w:rPr>
            </w:pPr>
            <w:r>
              <w:rPr>
                <w:rFonts w:hint="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hint="eastAsia"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sz w:val="21"/>
                <w:szCs w:val="21"/>
              </w:rPr>
            </w:pPr>
            <w:r>
              <w:rPr>
                <w:rFonts w:hint="eastAsia" w:ascii="宋体" w:hAnsi="宋体"/>
                <w:b/>
                <w:color w:val="000000"/>
                <w:spacing w:val="-8"/>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4"/>
              <w:numPr>
                <w:ilvl w:val="0"/>
                <w:numId w:val="0"/>
              </w:numPr>
              <w:tabs>
                <w:tab w:val="left" w:pos="540"/>
              </w:tabs>
              <w:spacing w:line="300" w:lineRule="exact"/>
              <w:rPr>
                <w:rFonts w:ascii="宋体"/>
                <w:b/>
                <w:szCs w:val="21"/>
                <w:u w:val="single"/>
              </w:rPr>
            </w:pPr>
            <w:r>
              <w:rPr>
                <w:rFonts w:hint="eastAsia" w:ascii="宋体" w:hAnsi="宋体"/>
                <w:b/>
                <w:szCs w:val="21"/>
                <w:lang w:val="en-US" w:eastAsia="zh-CN"/>
              </w:rPr>
              <w:t>(1)</w:t>
            </w: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4"/>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(2)</w:t>
            </w: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w:t>
            </w:r>
            <w:r>
              <w:rPr>
                <w:rFonts w:ascii="宋体" w:hAnsi="宋体"/>
                <w:b/>
                <w:szCs w:val="21"/>
              </w:rPr>
              <w:t xml:space="preserve"> </w:t>
            </w:r>
            <w:r>
              <w:rPr>
                <w:rFonts w:hint="eastAsia" w:ascii="宋体" w:hAnsi="宋体"/>
                <w:b/>
                <w:szCs w:val="21"/>
              </w:rPr>
              <w:t>□未确定法律法规要求的具体条款，</w:t>
            </w:r>
          </w:p>
          <w:p>
            <w:pPr>
              <w:pStyle w:val="14"/>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(3)</w:t>
            </w:r>
            <w:r>
              <w:rPr>
                <w:rFonts w:hint="eastAsia" w:ascii="宋体" w:hAnsi="宋体"/>
                <w:b/>
                <w:szCs w:val="21"/>
              </w:rPr>
              <w:t>法律法规的宣传方式：</w:t>
            </w:r>
            <w:r>
              <w:rPr>
                <w:rFonts w:hint="eastAsia" w:ascii="宋体" w:hAnsi="宋体"/>
                <w:b/>
                <w:szCs w:val="21"/>
                <w:lang w:eastAsia="zh-CN"/>
              </w:rPr>
              <w:t>培训、宣传栏、发放文件等形式。</w:t>
            </w:r>
          </w:p>
          <w:p>
            <w:pPr>
              <w:pStyle w:val="14"/>
              <w:numPr>
                <w:ilvl w:val="0"/>
                <w:numId w:val="0"/>
              </w:numPr>
              <w:tabs>
                <w:tab w:val="left" w:pos="540"/>
              </w:tabs>
              <w:spacing w:line="300" w:lineRule="exact"/>
              <w:ind w:left="0" w:leftChars="0" w:firstLine="0" w:firstLineChars="0"/>
              <w:rPr>
                <w:rFonts w:ascii="宋体" w:hAnsi="宋体"/>
                <w:b/>
                <w:sz w:val="21"/>
                <w:szCs w:val="21"/>
              </w:rPr>
            </w:pPr>
            <w:r>
              <w:rPr>
                <w:rFonts w:hint="eastAsia" w:ascii="宋体" w:hAnsi="宋体"/>
                <w:b/>
                <w:szCs w:val="21"/>
                <w:lang w:val="en-US" w:eastAsia="zh-CN"/>
              </w:rPr>
              <w:t>(4)</w:t>
            </w:r>
            <w:r>
              <w:rPr>
                <w:rFonts w:hint="eastAsia" w:ascii="宋体" w:hAnsi="宋体"/>
                <w:b/>
                <w:szCs w:val="21"/>
              </w:rPr>
              <w:t>法律法规要求及时更新</w:t>
            </w:r>
            <w:r>
              <w:rPr>
                <w:rFonts w:hint="eastAsia" w:ascii="宋体" w:hAnsi="宋体"/>
                <w:b/>
                <w:szCs w:val="21"/>
                <w:lang w:eastAsia="zh-CN"/>
              </w:rPr>
              <w:t>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rFonts w:hint="eastAsia" w:ascii="宋体" w:hAnsi="宋体"/>
                <w:b/>
                <w:szCs w:val="21"/>
                <w:lang w:val="en-US" w:eastAsia="zh-CN"/>
              </w:rPr>
              <w:t>9.</w:t>
            </w:r>
            <w:r>
              <w:rPr>
                <w:rFonts w:hint="eastAsia" w:ascii="宋体" w:hAnsi="宋体"/>
                <w:b/>
                <w:szCs w:val="21"/>
              </w:rPr>
              <w:t>目标、方案</w:t>
            </w:r>
          </w:p>
          <w:p>
            <w:pPr>
              <w:spacing w:line="300" w:lineRule="exact"/>
              <w:rPr>
                <w:rFonts w:hint="eastAsia" w:ascii="宋体" w:hAnsi="宋体" w:eastAsia="宋体" w:cs="宋体"/>
                <w:color w:val="000000"/>
                <w:kern w:val="0"/>
                <w:sz w:val="21"/>
                <w:szCs w:val="21"/>
                <w:lang w:val="en-US" w:eastAsia="zh-CN" w:bidi="ar-SA"/>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r>
              <w:rPr>
                <w:rFonts w:hint="eastAsia" w:ascii="宋体" w:hAnsi="宋体"/>
                <w:b/>
                <w:color w:val="000000"/>
                <w:sz w:val="20"/>
                <w:lang w:eastAsia="zh-CN"/>
              </w:rPr>
              <w:t>：</w:t>
            </w:r>
          </w:p>
          <w:p>
            <w:pPr>
              <w:spacing w:line="300" w:lineRule="exact"/>
              <w:ind w:firstLine="420" w:firstLineChars="200"/>
              <w:rPr>
                <w:rFonts w:ascii="宋体" w:hAnsi="宋体"/>
                <w:b/>
                <w:sz w:val="21"/>
                <w:szCs w:val="21"/>
              </w:rPr>
            </w:pPr>
            <w:r>
              <w:rPr>
                <w:rFonts w:hint="eastAsia" w:ascii="宋体" w:hAnsi="宋体" w:eastAsia="宋体" w:cs="宋体"/>
                <w:color w:val="000000"/>
                <w:kern w:val="0"/>
                <w:sz w:val="21"/>
                <w:szCs w:val="21"/>
                <w:lang w:val="en-US" w:eastAsia="zh-CN" w:bidi="ar-SA"/>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Cs w:val="21"/>
              </w:rPr>
            </w:pPr>
            <w:r>
              <w:rPr>
                <w:rFonts w:hint="eastAsia"/>
                <w:b/>
                <w:szCs w:val="21"/>
                <w:lang w:val="en-US" w:eastAsia="zh-CN"/>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tabs>
                <w:tab w:val="left" w:pos="902"/>
                <w:tab w:val="clear" w:pos="1069"/>
              </w:tabs>
              <w:spacing w:line="360" w:lineRule="auto"/>
              <w:ind w:left="0" w:leftChars="0" w:right="1" w:rightChars="0" w:firstLine="420" w:firstLineChars="200"/>
              <w:rPr>
                <w:rFonts w:ascii="宋体" w:hAnsi="宋体"/>
                <w:b/>
                <w:sz w:val="21"/>
                <w:szCs w:val="21"/>
              </w:rPr>
            </w:pPr>
            <w:r>
              <w:rPr>
                <w:rFonts w:hint="eastAsia" w:ascii="宋体" w:hAnsi="宋体" w:eastAsia="宋体" w:cs="宋体"/>
                <w:kern w:val="2"/>
                <w:sz w:val="21"/>
                <w:szCs w:val="21"/>
                <w:lang w:val="en-US" w:eastAsia="zh-CN" w:bidi="ar-SA"/>
              </w:rPr>
              <w:t>公司编制了《文件、记录控制程序》并按照申请认证的标准要求，建立并形成了文件化的质量管理体系，体系文件对管理体系各过程进行了识别确定，明确了各要素间的相互关系及其管控要求。公司体系文件于2018 年3月28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hint="eastAsia" w:ascii="宋体" w:hAnsi="宋体" w:cs="宋体"/>
                <w:color w:val="000000"/>
                <w:sz w:val="21"/>
                <w:szCs w:val="21"/>
                <w:highlight w:val="none"/>
              </w:rPr>
            </w:pPr>
            <w:r>
              <w:rPr>
                <w:rFonts w:hint="eastAsia" w:ascii="宋体"/>
                <w:b/>
                <w:color w:val="000000"/>
                <w:sz w:val="20"/>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highlight w:val="none"/>
              </w:rPr>
              <w:t>厂房面积10000平方左右，库房3000平方左右，办公场所面积500平方。主要</w:t>
            </w:r>
            <w:r>
              <w:rPr>
                <w:rFonts w:hint="eastAsia" w:ascii="宋体" w:hAnsi="宋体" w:cs="宋体"/>
                <w:color w:val="000000"/>
                <w:sz w:val="21"/>
                <w:szCs w:val="21"/>
                <w:highlight w:val="none"/>
                <w:lang w:eastAsia="zh-CN"/>
              </w:rPr>
              <w:t>生产</w:t>
            </w:r>
            <w:r>
              <w:rPr>
                <w:rFonts w:hint="eastAsia" w:ascii="宋体" w:hAnsi="宋体" w:cs="宋体"/>
                <w:color w:val="000000"/>
                <w:sz w:val="21"/>
                <w:szCs w:val="21"/>
                <w:highlight w:val="none"/>
              </w:rPr>
              <w:t>设备包括：</w:t>
            </w:r>
            <w:r>
              <w:rPr>
                <w:rFonts w:hint="eastAsia" w:ascii="宋体" w:hAnsi="宋体" w:cs="宋体"/>
                <w:sz w:val="21"/>
                <w:szCs w:val="21"/>
                <w:highlight w:val="none"/>
              </w:rPr>
              <w:t>输送机、分拣盘、鲜肉运输机、热缩机、真空包装机、烘干机、冷却机、干燥机、切肉机、刮油机等</w:t>
            </w:r>
            <w:r>
              <w:rPr>
                <w:rFonts w:hint="eastAsia" w:ascii="宋体" w:hAnsi="宋体" w:cs="宋体"/>
                <w:color w:val="000000"/>
                <w:sz w:val="21"/>
                <w:szCs w:val="21"/>
                <w:highlight w:val="none"/>
              </w:rPr>
              <w:t>等，可以满足生产需要。生产部对设备按月方式进行点检维护保养，并实施。</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特种设备：</w:t>
            </w:r>
            <w:r>
              <w:rPr>
                <w:rFonts w:hint="eastAsia" w:ascii="宋体" w:hAnsi="宋体" w:cs="宋体"/>
                <w:color w:val="000000"/>
                <w:sz w:val="21"/>
                <w:szCs w:val="21"/>
                <w:highlight w:val="none"/>
                <w:lang w:eastAsia="zh-CN"/>
              </w:rPr>
              <w:t>无</w:t>
            </w:r>
          </w:p>
          <w:p>
            <w:pPr>
              <w:spacing w:line="360" w:lineRule="auto"/>
              <w:rPr>
                <w:rFonts w:ascii="宋体" w:hAnsi="宋体"/>
                <w:b/>
                <w:sz w:val="21"/>
                <w:szCs w:val="21"/>
              </w:rPr>
            </w:pPr>
            <w:r>
              <w:rPr>
                <w:rFonts w:hint="eastAsia" w:ascii="宋体" w:hAnsi="宋体" w:cs="宋体"/>
                <w:color w:val="000000"/>
                <w:sz w:val="21"/>
                <w:szCs w:val="21"/>
              </w:rPr>
              <w:t>产品运输交由物流公司进行，公司未建立信息管理系统用于生产和服务</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hAnsi="宋体"/>
                <w:b/>
                <w:sz w:val="21"/>
                <w:szCs w:val="21"/>
              </w:rPr>
            </w:pPr>
            <w:r>
              <w:rPr>
                <w:rFonts w:hint="eastAsia" w:ascii="宋体" w:hAnsi="宋体" w:cs="宋体"/>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监视和测量资源</w:t>
            </w:r>
          </w:p>
          <w:p>
            <w:pPr>
              <w:spacing w:line="400" w:lineRule="exact"/>
              <w:ind w:firstLine="210" w:firstLineChars="100"/>
              <w:rPr>
                <w:rFonts w:hint="eastAsia" w:ascii="宋体" w:hAnsi="宋体" w:eastAsia="宋体"/>
                <w:b/>
                <w:sz w:val="21"/>
                <w:szCs w:val="21"/>
                <w:lang w:eastAsia="zh-CN"/>
              </w:rPr>
            </w:pPr>
            <w:r>
              <w:rPr>
                <w:rFonts w:hint="eastAsia" w:ascii="宋体" w:hAnsi="宋体" w:cs="宋体"/>
                <w:color w:val="000000"/>
                <w:sz w:val="21"/>
                <w:szCs w:val="21"/>
              </w:rPr>
              <w:t>生产车间及检验</w:t>
            </w:r>
            <w:r>
              <w:rPr>
                <w:rFonts w:hint="eastAsia" w:ascii="宋体" w:hAnsi="宋体" w:cs="宋体"/>
                <w:color w:val="000000"/>
                <w:sz w:val="21"/>
                <w:szCs w:val="21"/>
                <w:highlight w:val="none"/>
              </w:rPr>
              <w:t>部门均按策划的要求配置了相应的检测设备，均采用委外送检。抽在用检具的检定或校准证书，能提供有效检定或校准证据</w:t>
            </w:r>
            <w:r>
              <w:rPr>
                <w:rFonts w:hint="eastAsia" w:ascii="宋体" w:hAnsi="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环保设施：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职业健康安全设施：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vAlign w:val="top"/>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rFonts w:hint="eastAsia"/>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hint="eastAsia" w:ascii="宋体" w:hAnsi="宋体" w:cs="宋体"/>
                <w:color w:val="000000"/>
                <w:sz w:val="21"/>
                <w:szCs w:val="21"/>
                <w:lang w:eastAsia="zh-CN"/>
              </w:rPr>
              <w:t>。</w:t>
            </w:r>
            <w:r>
              <w:rPr>
                <w:rFonts w:ascii="楷体_GB2312" w:eastAsia="楷体_GB2312"/>
                <w:b/>
                <w:szCs w:val="21"/>
              </w:rPr>
              <w:t xml:space="preserve">                </w:t>
            </w:r>
          </w:p>
          <w:p>
            <w:pPr>
              <w:spacing w:line="240" w:lineRule="exact"/>
              <w:rPr>
                <w:rFonts w:hint="eastAsia" w:ascii="楷体_GB2312" w:eastAsia="楷体_GB2312"/>
                <w:b/>
                <w:szCs w:val="21"/>
                <w:lang w:eastAsia="zh-CN"/>
              </w:rPr>
            </w:pPr>
            <w:r>
              <w:rPr>
                <w:rFonts w:hint="eastAsia" w:ascii="楷体_GB2312" w:eastAsia="楷体_GB2312"/>
                <w:b/>
                <w:szCs w:val="21"/>
              </w:rPr>
              <w:t>内部沟通的效果：</w:t>
            </w:r>
            <w:r>
              <w:rPr>
                <w:rFonts w:hint="eastAsia" w:ascii="宋体" w:hAnsi="宋体" w:cs="宋体"/>
                <w:color w:val="000000"/>
                <w:sz w:val="21"/>
                <w:szCs w:val="21"/>
                <w:lang w:eastAsia="zh-CN"/>
              </w:rPr>
              <w:t>良好</w:t>
            </w:r>
          </w:p>
          <w:p>
            <w:pPr>
              <w:spacing w:line="240" w:lineRule="exact"/>
              <w:rPr>
                <w:rFonts w:ascii="楷体_GB2312" w:eastAsia="楷体_GB2312"/>
                <w:b/>
                <w:szCs w:val="21"/>
              </w:rPr>
            </w:pPr>
          </w:p>
          <w:p>
            <w:pPr>
              <w:spacing w:line="240" w:lineRule="exact"/>
              <w:rPr>
                <w:rFonts w:hint="default" w:ascii="楷体_GB2312" w:eastAsia="楷体_GB2312"/>
                <w:b/>
                <w:szCs w:val="21"/>
                <w:lang w:val="en-US" w:eastAsia="zh-CN"/>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lang w:eastAsia="zh-CN"/>
              </w:rPr>
              <w:t>采取电话、</w:t>
            </w:r>
            <w:r>
              <w:rPr>
                <w:rFonts w:hint="eastAsia" w:ascii="宋体" w:hAnsi="宋体" w:cs="宋体"/>
                <w:color w:val="000000"/>
                <w:sz w:val="21"/>
                <w:szCs w:val="21"/>
                <w:lang w:val="en-US" w:eastAsia="zh-CN"/>
              </w:rPr>
              <w:t>QQ及</w:t>
            </w:r>
            <w:r>
              <w:rPr>
                <w:rFonts w:hint="eastAsia" w:ascii="宋体" w:hAnsi="宋体" w:cs="宋体"/>
                <w:color w:val="000000"/>
                <w:sz w:val="21"/>
                <w:szCs w:val="21"/>
              </w:rPr>
              <w:t>不定期回访用户</w:t>
            </w:r>
            <w:r>
              <w:rPr>
                <w:rFonts w:hint="eastAsia" w:ascii="宋体" w:hAnsi="宋体" w:cs="宋体"/>
                <w:color w:val="000000"/>
                <w:sz w:val="21"/>
                <w:szCs w:val="21"/>
                <w:lang w:eastAsia="zh-CN"/>
              </w:rPr>
              <w:t>的方式</w:t>
            </w:r>
            <w:r>
              <w:rPr>
                <w:rFonts w:hint="eastAsia" w:ascii="宋体" w:hAnsi="宋体" w:cs="宋体"/>
                <w:color w:val="000000"/>
                <w:sz w:val="21"/>
                <w:szCs w:val="21"/>
              </w:rPr>
              <w:t>了解相关信息等，对顾客反馈问题</w:t>
            </w:r>
            <w:r>
              <w:rPr>
                <w:rFonts w:hint="eastAsia" w:ascii="宋体" w:hAnsi="宋体" w:cs="宋体"/>
                <w:color w:val="000000"/>
                <w:sz w:val="21"/>
                <w:szCs w:val="21"/>
                <w:lang w:eastAsia="zh-CN"/>
              </w:rPr>
              <w:t>进行</w:t>
            </w:r>
            <w:r>
              <w:rPr>
                <w:rFonts w:hint="eastAsia" w:ascii="宋体" w:hAnsi="宋体" w:cs="宋体"/>
                <w:color w:val="000000"/>
                <w:sz w:val="21"/>
                <w:szCs w:val="21"/>
              </w:rPr>
              <w:t>解答。针对存在的问题及时进行处理。定期发放顾客满意度调查，了解顾客满意或不满意的信息，并积极应对，确保顾客满意</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b/>
                <w:color w:val="000000"/>
                <w:sz w:val="20"/>
                <w:highlight w:val="none"/>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keepNext w:val="0"/>
              <w:keepLines w:val="0"/>
              <w:pageBreakBefore w:val="0"/>
              <w:widowControl w:val="0"/>
              <w:kinsoku/>
              <w:wordWrap/>
              <w:overflowPunct/>
              <w:topLinePunct w:val="0"/>
              <w:autoSpaceDE/>
              <w:autoSpaceDN/>
              <w:bidi w:val="0"/>
              <w:adjustRightInd/>
              <w:snapToGrid/>
              <w:spacing w:line="240" w:lineRule="auto"/>
              <w:ind w:firstLine="201" w:firstLineChars="100"/>
              <w:textAlignment w:val="auto"/>
              <w:rPr>
                <w:rFonts w:hint="eastAsia" w:ascii="宋体" w:hAnsi="宋体" w:cs="宋体"/>
                <w:color w:val="000000"/>
                <w:sz w:val="21"/>
                <w:szCs w:val="21"/>
                <w:highlight w:val="none"/>
                <w:lang w:eastAsia="zh-CN"/>
              </w:rPr>
            </w:pPr>
            <w:r>
              <w:rPr>
                <w:rFonts w:hint="eastAsia"/>
                <w:b/>
                <w:color w:val="000000"/>
                <w:sz w:val="20"/>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rPr>
              <w:t>制定并实施了产品检验控制规定，规定了公司各管理层次和品质</w:t>
            </w:r>
            <w:r>
              <w:rPr>
                <w:rFonts w:hint="eastAsia" w:ascii="宋体" w:hAnsi="宋体" w:cs="宋体"/>
                <w:color w:val="000000"/>
                <w:sz w:val="21"/>
                <w:szCs w:val="21"/>
                <w:highlight w:val="none"/>
                <w:lang w:eastAsia="zh-CN"/>
              </w:rPr>
              <w:t>检测</w:t>
            </w:r>
            <w:r>
              <w:rPr>
                <w:rFonts w:hint="eastAsia" w:ascii="宋体" w:hAnsi="宋体" w:cs="宋体"/>
                <w:color w:val="000000"/>
                <w:sz w:val="21"/>
                <w:szCs w:val="21"/>
                <w:highlight w:val="none"/>
              </w:rPr>
              <w:t>部</w:t>
            </w:r>
            <w:r>
              <w:rPr>
                <w:rFonts w:hint="eastAsia" w:ascii="宋体" w:hAnsi="宋体" w:cs="宋体"/>
                <w:color w:val="000000"/>
                <w:sz w:val="21"/>
                <w:szCs w:val="21"/>
                <w:highlight w:val="none"/>
                <w:lang w:eastAsia="zh-CN"/>
              </w:rPr>
              <w:t>门</w:t>
            </w:r>
            <w:r>
              <w:rPr>
                <w:rFonts w:hint="eastAsia" w:ascii="宋体" w:hAnsi="宋体" w:cs="宋体"/>
                <w:color w:val="000000"/>
                <w:sz w:val="21"/>
                <w:szCs w:val="21"/>
                <w:highlight w:val="none"/>
              </w:rPr>
              <w:t>在各阶段对</w:t>
            </w:r>
            <w:r>
              <w:rPr>
                <w:rFonts w:hint="eastAsia" w:ascii="宋体" w:hAnsi="宋体" w:cs="宋体"/>
                <w:color w:val="000000"/>
                <w:sz w:val="21"/>
                <w:szCs w:val="21"/>
                <w:highlight w:val="none"/>
                <w:lang w:eastAsia="zh-CN"/>
              </w:rPr>
              <w:t>产品</w:t>
            </w:r>
            <w:r>
              <w:rPr>
                <w:rFonts w:hint="eastAsia" w:ascii="宋体" w:hAnsi="宋体" w:cs="宋体"/>
                <w:color w:val="000000"/>
                <w:sz w:val="21"/>
                <w:szCs w:val="21"/>
                <w:highlight w:val="none"/>
              </w:rPr>
              <w:t>服务质量实施检查与验收的管理要求。内容基本具备全面性、系统性及可操作性。质量检查与验收均在</w:t>
            </w:r>
            <w:r>
              <w:rPr>
                <w:rFonts w:hint="eastAsia" w:ascii="宋体" w:hAnsi="宋体" w:cs="宋体"/>
                <w:color w:val="000000"/>
                <w:sz w:val="21"/>
                <w:szCs w:val="21"/>
                <w:highlight w:val="none"/>
                <w:lang w:eastAsia="zh-CN"/>
              </w:rPr>
              <w:t>出厂前</w:t>
            </w:r>
            <w:r>
              <w:rPr>
                <w:rFonts w:hint="eastAsia" w:ascii="宋体" w:hAnsi="宋体" w:cs="宋体"/>
                <w:color w:val="000000"/>
                <w:sz w:val="21"/>
                <w:szCs w:val="21"/>
                <w:highlight w:val="none"/>
              </w:rPr>
              <w:t>予以实现，范围包括：过程、最终产品。</w:t>
            </w:r>
            <w:r>
              <w:rPr>
                <w:rFonts w:hint="eastAsia" w:ascii="宋体" w:hAnsi="宋体" w:cs="宋体"/>
                <w:color w:val="000000"/>
                <w:sz w:val="21"/>
                <w:szCs w:val="21"/>
                <w:highlight w:val="none"/>
                <w:lang w:eastAsia="zh-CN"/>
              </w:rPr>
              <w:t>以此保证持续</w:t>
            </w:r>
            <w:r>
              <w:rPr>
                <w:rFonts w:hint="eastAsia" w:ascii="宋体" w:hAnsi="宋体" w:cs="宋体"/>
                <w:color w:val="000000"/>
                <w:sz w:val="21"/>
                <w:szCs w:val="21"/>
                <w:highlight w:val="none"/>
              </w:rPr>
              <w:t>向顾客稳定提供</w:t>
            </w:r>
            <w:r>
              <w:rPr>
                <w:rFonts w:hint="eastAsia" w:ascii="宋体" w:hAnsi="宋体" w:cs="宋体"/>
                <w:color w:val="000000"/>
                <w:sz w:val="21"/>
                <w:szCs w:val="21"/>
                <w:highlight w:val="none"/>
                <w:lang w:eastAsia="zh-CN"/>
              </w:rPr>
              <w:t>稳定</w:t>
            </w:r>
            <w:r>
              <w:rPr>
                <w:rFonts w:hint="eastAsia" w:ascii="宋体" w:hAnsi="宋体" w:cs="宋体"/>
                <w:color w:val="000000"/>
                <w:sz w:val="21"/>
                <w:szCs w:val="21"/>
                <w:highlight w:val="none"/>
              </w:rPr>
              <w:t>合格</w:t>
            </w:r>
            <w:r>
              <w:rPr>
                <w:rFonts w:hint="eastAsia" w:ascii="宋体" w:hAnsi="宋体" w:cs="宋体"/>
                <w:color w:val="000000"/>
                <w:sz w:val="21"/>
                <w:szCs w:val="21"/>
                <w:highlight w:val="none"/>
                <w:lang w:eastAsia="zh-CN"/>
              </w:rPr>
              <w:t>的</w:t>
            </w:r>
            <w:r>
              <w:rPr>
                <w:rFonts w:hint="eastAsia" w:ascii="宋体" w:hAnsi="宋体" w:cs="宋体"/>
                <w:color w:val="000000"/>
                <w:sz w:val="21"/>
                <w:szCs w:val="21"/>
                <w:highlight w:val="none"/>
              </w:rPr>
              <w:t>产品</w:t>
            </w:r>
            <w:r>
              <w:rPr>
                <w:rFonts w:hint="eastAsia" w:ascii="宋体" w:hAnsi="宋体" w:cs="宋体"/>
                <w:color w:val="000000"/>
                <w:sz w:val="21"/>
                <w:szCs w:val="21"/>
                <w:highlight w:val="none"/>
                <w:lang w:eastAsia="zh-CN"/>
              </w:rPr>
              <w:t>。</w:t>
            </w:r>
          </w:p>
          <w:p>
            <w:pPr>
              <w:spacing w:line="240" w:lineRule="exact"/>
              <w:rPr>
                <w:b/>
                <w:color w:val="000000"/>
                <w:sz w:val="20"/>
                <w:highlight w:val="none"/>
              </w:rPr>
            </w:pPr>
          </w:p>
          <w:p>
            <w:pPr>
              <w:spacing w:line="240" w:lineRule="exact"/>
              <w:rPr>
                <w:b/>
                <w:color w:val="000000"/>
                <w:sz w:val="20"/>
                <w:highlight w:val="none"/>
              </w:rPr>
            </w:pPr>
            <w:r>
              <w:rPr>
                <w:b/>
                <w:color w:val="000000"/>
                <w:sz w:val="20"/>
                <w:highlight w:val="none"/>
              </w:rPr>
              <w:t>(</w:t>
            </w:r>
            <w:r>
              <w:rPr>
                <w:rFonts w:hint="eastAsia"/>
                <w:b/>
                <w:color w:val="000000"/>
                <w:sz w:val="20"/>
                <w:highlight w:val="none"/>
              </w:rPr>
              <w:t>应说明相关证据</w:t>
            </w:r>
            <w:r>
              <w:rPr>
                <w:b/>
                <w:color w:val="000000"/>
                <w:sz w:val="20"/>
                <w:highlight w:val="none"/>
              </w:rPr>
              <w:t>)</w:t>
            </w:r>
            <w:r>
              <w:rPr>
                <w:rFonts w:hint="eastAsia"/>
                <w:b/>
                <w:color w:val="000000"/>
                <w:sz w:val="20"/>
                <w:highlight w:val="none"/>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00" w:lineRule="exact"/>
              <w:ind w:firstLine="197" w:firstLineChars="98"/>
              <w:rPr>
                <w:rFonts w:hint="eastAsia"/>
                <w:b/>
                <w:color w:val="000000"/>
                <w:sz w:val="20"/>
                <w:lang w:eastAsia="zh-CN"/>
              </w:rPr>
            </w:pPr>
            <w:r>
              <w:rPr>
                <w:rFonts w:hint="eastAsia"/>
                <w:b/>
                <w:color w:val="000000"/>
                <w:sz w:val="20"/>
                <w:lang w:eastAsia="zh-CN"/>
              </w:rPr>
              <w:t>无</w:t>
            </w:r>
          </w:p>
          <w:p>
            <w:pPr>
              <w:spacing w:line="300" w:lineRule="exact"/>
              <w:ind w:firstLine="197" w:firstLineChars="98"/>
              <w:rPr>
                <w:rFonts w:ascii="宋体" w:hAnsi="宋体"/>
                <w:b/>
                <w:sz w:val="21"/>
                <w:szCs w:val="21"/>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rFonts w:ascii="宋体" w:hAnsi="宋体"/>
                <w:b/>
                <w:sz w:val="21"/>
                <w:szCs w:val="21"/>
              </w:rPr>
            </w:pPr>
            <w:r>
              <w:rPr>
                <w:rFonts w:hint="eastAsia" w:ascii="宋体" w:hAnsi="宋体" w:eastAsia="宋体" w:cs="宋体"/>
                <w:sz w:val="21"/>
                <w:szCs w:val="21"/>
                <w:highlight w:val="none"/>
                <w:lang w:val="en-US" w:eastAsia="zh-CN"/>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b/>
                <w:sz w:val="20"/>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1"/>
              </w:numPr>
              <w:spacing w:line="240" w:lineRule="exact"/>
              <w:rPr>
                <w:rFonts w:hint="eastAsia"/>
                <w:b/>
                <w:szCs w:val="21"/>
              </w:rPr>
            </w:pPr>
            <w:r>
              <w:rPr>
                <w:b/>
                <w:szCs w:val="21"/>
              </w:rPr>
              <w:t xml:space="preserve">OHS </w:t>
            </w:r>
            <w:r>
              <w:rPr>
                <w:rFonts w:hint="eastAsia"/>
                <w:b/>
                <w:szCs w:val="21"/>
              </w:rPr>
              <w:t>组织对不可接受风险实施控制的结果</w:t>
            </w:r>
          </w:p>
          <w:p>
            <w:pPr>
              <w:numPr>
                <w:ilvl w:val="0"/>
                <w:numId w:val="0"/>
              </w:numPr>
              <w:spacing w:line="240" w:lineRule="exact"/>
              <w:ind w:left="0" w:leftChars="0" w:firstLine="0" w:firstLineChars="0"/>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41" w:hanging="241" w:hangingChars="100"/>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pPr>
              <w:spacing w:line="240" w:lineRule="exact"/>
              <w:rPr>
                <w:rFonts w:ascii="宋体" w:hAnsi="宋体"/>
                <w:b/>
                <w:sz w:val="21"/>
                <w:szCs w:val="21"/>
              </w:rPr>
            </w:pPr>
            <w:r>
              <w:rPr>
                <w:rFonts w:hint="eastAsia"/>
                <w:b/>
                <w:spacing w:val="-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spacing w:line="360" w:lineRule="auto"/>
              <w:rPr>
                <w:rFonts w:hint="eastAsia" w:ascii="宋体" w:hAnsi="宋体" w:eastAsia="宋体"/>
                <w:b/>
                <w:sz w:val="21"/>
                <w:szCs w:val="21"/>
                <w:lang w:eastAsia="zh-CN"/>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leftChars="0" w:right="113" w:rightChars="0"/>
              <w:jc w:val="center"/>
              <w:rPr>
                <w:rFonts w:ascii="宋体" w:hAnsi="宋体"/>
                <w:b/>
                <w:szCs w:val="21"/>
              </w:rPr>
            </w:pPr>
            <w:r>
              <w:rPr>
                <w:b/>
                <w:szCs w:val="21"/>
              </w:rPr>
              <w:t>(</w:t>
            </w:r>
            <w:r>
              <w:rPr>
                <w:rFonts w:hint="eastAsia"/>
                <w:b/>
                <w:szCs w:val="21"/>
              </w:rPr>
              <w:t>四</w:t>
            </w:r>
            <w:r>
              <w:rPr>
                <w:b/>
                <w:szCs w:val="21"/>
              </w:rPr>
              <w:t>)</w:t>
            </w:r>
            <w:r>
              <w:rPr>
                <w:rFonts w:hint="eastAsia"/>
                <w:b/>
                <w:szCs w:val="21"/>
              </w:rPr>
              <w:t>监视测量方面</w:t>
            </w:r>
          </w:p>
        </w:tc>
        <w:tc>
          <w:tcPr>
            <w:tcW w:w="9198" w:type="dxa"/>
            <w:vAlign w:val="top"/>
          </w:tcPr>
          <w:p>
            <w:pPr>
              <w:spacing w:line="360" w:lineRule="auto"/>
              <w:rPr>
                <w:rFonts w:hint="eastAsia" w:ascii="宋体" w:hAnsi="宋体" w:cs="宋体"/>
                <w:color w:val="000000"/>
                <w:sz w:val="21"/>
                <w:szCs w:val="21"/>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360" w:lineRule="auto"/>
              <w:ind w:firstLine="420" w:firstLineChars="20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w:t>
            </w:r>
            <w:r>
              <w:rPr>
                <w:rFonts w:hint="eastAsia" w:ascii="宋体" w:hAnsi="宋体" w:cs="宋体"/>
                <w:color w:val="000000"/>
                <w:sz w:val="21"/>
                <w:szCs w:val="21"/>
                <w:highlight w:val="none"/>
              </w:rPr>
              <w:t>和监视评价，通过数据的汇总统计、描述性统计等方法对目标进行了测量，总体已达到或超过了规定的目标值。通过</w:t>
            </w:r>
            <w:r>
              <w:rPr>
                <w:rFonts w:hint="eastAsia" w:ascii="宋体" w:hAnsi="宋体" w:cs="宋体"/>
                <w:color w:val="000000"/>
                <w:sz w:val="21"/>
                <w:szCs w:val="21"/>
                <w:highlight w:val="none"/>
                <w:lang w:val="en-US" w:eastAsia="zh-CN"/>
              </w:rPr>
              <w:t>2019年1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numPr>
                <w:ilvl w:val="0"/>
                <w:numId w:val="2"/>
              </w:numPr>
              <w:spacing w:line="240" w:lineRule="exact"/>
              <w:ind w:left="100" w:hanging="100" w:hangingChars="50"/>
              <w:rPr>
                <w:rFonts w:hint="eastAsia"/>
                <w:b/>
                <w:color w:val="000000"/>
                <w:sz w:val="20"/>
                <w:highlight w:val="none"/>
              </w:rPr>
            </w:pPr>
            <w:r>
              <w:rPr>
                <w:rFonts w:hint="eastAsia"/>
                <w:b/>
                <w:color w:val="000000"/>
                <w:sz w:val="20"/>
                <w:highlight w:val="none"/>
              </w:rPr>
              <w:t>顾客满意</w:t>
            </w:r>
          </w:p>
          <w:p>
            <w:pPr>
              <w:numPr>
                <w:ilvl w:val="0"/>
                <w:numId w:val="0"/>
              </w:numPr>
              <w:spacing w:line="240" w:lineRule="exact"/>
              <w:ind w:left="-120" w:leftChars="-50" w:firstLine="420" w:firstLineChars="200"/>
              <w:rPr>
                <w:rFonts w:ascii="宋体" w:hAnsi="宋体"/>
                <w:b/>
                <w:sz w:val="21"/>
                <w:szCs w:val="21"/>
                <w:highlight w:val="none"/>
              </w:rPr>
            </w:pPr>
            <w:r>
              <w:rPr>
                <w:rFonts w:hint="eastAsia" w:ascii="宋体" w:hAnsi="宋体" w:cs="宋体"/>
                <w:color w:val="000000"/>
                <w:sz w:val="21"/>
                <w:szCs w:val="21"/>
                <w:highlight w:val="none"/>
              </w:rPr>
              <w:t>公司建立了《顾客满意度监视和测量控制程序》，对顾客投诉处理及顾客满意度评价做了明确的规定，并按规定对顾客反馈及时处理，</w:t>
            </w:r>
            <w:r>
              <w:rPr>
                <w:rFonts w:hint="eastAsia" w:ascii="宋体" w:hAnsi="宋体" w:cs="宋体"/>
                <w:color w:val="000000"/>
                <w:sz w:val="21"/>
                <w:szCs w:val="21"/>
                <w:highlight w:val="none"/>
                <w:lang w:eastAsia="zh-CN"/>
              </w:rPr>
              <w:t>但</w:t>
            </w:r>
            <w:r>
              <w:rPr>
                <w:rFonts w:hint="eastAsia" w:ascii="宋体" w:hAnsi="宋体" w:cs="宋体"/>
                <w:color w:val="000000"/>
                <w:sz w:val="21"/>
                <w:szCs w:val="21"/>
                <w:highlight w:val="none"/>
              </w:rPr>
              <w:t>在顾客反馈信息的利用上不够</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需要改善</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近年来未发生重大顾客投诉和产品质量事故。顾客满意度调查按规定实施，20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月实施，满意度评价9</w:t>
            </w:r>
            <w:r>
              <w:rPr>
                <w:rFonts w:hint="eastAsia" w:ascii="宋体" w:hAnsi="宋体" w:cs="宋体"/>
                <w:color w:val="000000"/>
                <w:sz w:val="21"/>
                <w:szCs w:val="21"/>
                <w:highlight w:val="none"/>
                <w:lang w:val="en-US" w:eastAsia="zh-CN"/>
              </w:rPr>
              <w:t>8.3</w:t>
            </w:r>
            <w:r>
              <w:rPr>
                <w:rFonts w:hint="eastAsia" w:ascii="宋体" w:hAnsi="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highlight w:val="none"/>
              </w:rPr>
            </w:pPr>
            <w:r>
              <w:rPr>
                <w:b/>
                <w:color w:val="000000"/>
                <w:sz w:val="20"/>
                <w:highlight w:val="none"/>
              </w:rPr>
              <w:t xml:space="preserve">3. </w:t>
            </w:r>
            <w:r>
              <w:rPr>
                <w:rFonts w:hint="eastAsia"/>
                <w:b/>
                <w:color w:val="000000"/>
                <w:sz w:val="20"/>
                <w:highlight w:val="none"/>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cs="宋体"/>
                <w:color w:val="000000"/>
                <w:sz w:val="21"/>
                <w:szCs w:val="21"/>
                <w:highlight w:val="none"/>
              </w:rPr>
            </w:pPr>
          </w:p>
          <w:p>
            <w:pPr>
              <w:numPr>
                <w:ilvl w:val="0"/>
                <w:numId w:val="0"/>
              </w:numPr>
              <w:spacing w:line="240" w:lineRule="exact"/>
              <w:ind w:left="-120" w:leftChars="-50" w:firstLine="420" w:firstLineChars="200"/>
              <w:rPr>
                <w:rFonts w:ascii="宋体" w:hAnsi="宋体"/>
                <w:b/>
                <w:sz w:val="21"/>
                <w:szCs w:val="21"/>
                <w:highlight w:val="none"/>
              </w:rPr>
            </w:pPr>
            <w:r>
              <w:rPr>
                <w:rFonts w:hint="eastAsia" w:ascii="宋体" w:hAnsi="宋体" w:cs="宋体"/>
                <w:color w:val="000000"/>
                <w:sz w:val="21"/>
                <w:szCs w:val="21"/>
                <w:highlight w:val="none"/>
              </w:rPr>
              <w:t>建立有《内部审核控制程序》，规定了内审频次一年一次，内审时间：20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 xml:space="preserve">年 </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rPr>
              <w:t>日</w:t>
            </w:r>
            <w:r>
              <w:rPr>
                <w:rFonts w:hint="eastAsia" w:ascii="宋体" w:hAnsi="宋体" w:cs="宋体"/>
                <w:color w:val="000000"/>
                <w:sz w:val="21"/>
                <w:szCs w:val="21"/>
                <w:highlight w:val="none"/>
              </w:rPr>
              <w:t>，拟定了审核实施表，明确了内审范围，内审人员经培训合格上岗，能力满足要求，未出现审核本部门情况，内审不符合项1项， 涉及</w:t>
            </w:r>
            <w:r>
              <w:rPr>
                <w:rFonts w:hint="eastAsia" w:ascii="宋体" w:hAnsi="宋体" w:cs="宋体"/>
                <w:color w:val="000000"/>
                <w:sz w:val="21"/>
                <w:szCs w:val="21"/>
                <w:highlight w:val="none"/>
                <w:lang w:val="en-US" w:eastAsia="zh-CN"/>
              </w:rPr>
              <w:t>采购部不符合标准8.4条款，没有提供供方评审的证据</w:t>
            </w:r>
            <w:r>
              <w:rPr>
                <w:rFonts w:hint="eastAsia" w:ascii="宋体" w:hAnsi="宋体" w:cs="宋体"/>
                <w:color w:val="000000"/>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highlight w:val="none"/>
              </w:rPr>
            </w:pPr>
            <w:r>
              <w:rPr>
                <w:b/>
                <w:color w:val="000000"/>
                <w:sz w:val="20"/>
                <w:highlight w:val="none"/>
              </w:rPr>
              <w:t>4.</w:t>
            </w:r>
            <w:r>
              <w:rPr>
                <w:rFonts w:hint="eastAsia"/>
                <w:b/>
                <w:color w:val="000000"/>
                <w:sz w:val="20"/>
                <w:highlight w:val="none"/>
              </w:rPr>
              <w:t>管理评审（管理评审体系变更需求，纠正和预防措施、体系有效性等）</w:t>
            </w:r>
          </w:p>
          <w:p>
            <w:pPr>
              <w:spacing w:line="240" w:lineRule="exact"/>
              <w:rPr>
                <w:rFonts w:ascii="宋体" w:hAnsi="宋体"/>
                <w:b/>
                <w:sz w:val="21"/>
                <w:szCs w:val="21"/>
                <w:highlight w:val="none"/>
              </w:rPr>
            </w:pPr>
            <w:r>
              <w:rPr>
                <w:rFonts w:hint="eastAsia"/>
                <w:b/>
                <w:color w:val="000000"/>
                <w:sz w:val="20"/>
                <w:highlight w:val="none"/>
                <w:lang w:val="en-US" w:eastAsia="zh-CN"/>
              </w:rPr>
              <w:t xml:space="preserve">    </w:t>
            </w:r>
            <w:r>
              <w:rPr>
                <w:rFonts w:hint="eastAsia" w:ascii="宋体" w:hAnsi="宋体" w:cs="宋体"/>
                <w:color w:val="000000"/>
                <w:sz w:val="21"/>
                <w:szCs w:val="21"/>
                <w:highlight w:val="none"/>
              </w:rPr>
              <w:t>管理评审频次为一年一次、</w:t>
            </w:r>
            <w:r>
              <w:rPr>
                <w:rFonts w:hint="eastAsia" w:ascii="宋体" w:hAnsi="宋体" w:cs="宋体"/>
                <w:color w:val="000000"/>
                <w:sz w:val="21"/>
                <w:szCs w:val="21"/>
                <w:highlight w:val="none"/>
                <w:lang w:eastAsia="zh-CN"/>
              </w:rPr>
              <w:t>本次管理评审于20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lang w:eastAsia="zh-CN"/>
              </w:rPr>
              <w:t>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lang w:eastAsia="zh-CN"/>
              </w:rPr>
              <w:t xml:space="preserve"> 月</w:t>
            </w:r>
            <w:r>
              <w:rPr>
                <w:rFonts w:hint="eastAsia" w:ascii="宋体" w:hAnsi="宋体" w:cs="宋体"/>
                <w:color w:val="000000"/>
                <w:sz w:val="21"/>
                <w:szCs w:val="21"/>
                <w:highlight w:val="none"/>
                <w:lang w:val="en-US" w:eastAsia="zh-CN"/>
              </w:rPr>
              <w:t>17</w:t>
            </w:r>
            <w:r>
              <w:rPr>
                <w:rFonts w:hint="eastAsia" w:ascii="宋体" w:hAnsi="宋体" w:cs="宋体"/>
                <w:color w:val="000000"/>
                <w:sz w:val="21"/>
                <w:szCs w:val="21"/>
                <w:highlight w:val="none"/>
                <w:lang w:eastAsia="zh-CN"/>
              </w:rPr>
              <w:t>日由总经理主持完成、提供主要输入材料有各部门总结，输入信息基本充分和满足要求。输出见“管理评审报告”, 做出了管理体系基本适宜、充分和有效的评审</w:t>
            </w:r>
            <w:r>
              <w:rPr>
                <w:rFonts w:hint="eastAsia" w:ascii="宋体" w:hAnsi="宋体" w:cs="宋体"/>
                <w:color w:val="000000"/>
                <w:sz w:val="21"/>
                <w:szCs w:val="21"/>
                <w:highlight w:val="none"/>
              </w:rPr>
              <w:t>结论，</w:t>
            </w:r>
            <w:r>
              <w:rPr>
                <w:rFonts w:hint="eastAsia" w:ascii="宋体" w:hAnsi="宋体" w:cs="宋体"/>
                <w:color w:val="000000"/>
                <w:sz w:val="21"/>
                <w:szCs w:val="21"/>
                <w:highlight w:val="none"/>
                <w:lang w:eastAsia="zh-CN"/>
              </w:rPr>
              <w:t>对上次</w:t>
            </w:r>
            <w:r>
              <w:rPr>
                <w:rFonts w:hint="eastAsia" w:ascii="宋体" w:hAnsi="宋体" w:cs="宋体"/>
                <w:color w:val="000000"/>
                <w:sz w:val="21"/>
                <w:szCs w:val="21"/>
                <w:highlight w:val="none"/>
              </w:rPr>
              <w:t>管理评审</w:t>
            </w:r>
            <w:r>
              <w:rPr>
                <w:rFonts w:hint="eastAsia" w:ascii="宋体" w:hAnsi="宋体" w:cs="宋体"/>
                <w:color w:val="000000"/>
                <w:sz w:val="21"/>
                <w:szCs w:val="21"/>
                <w:highlight w:val="none"/>
                <w:lang w:eastAsia="zh-CN"/>
              </w:rPr>
              <w:t>提出的改进措施验证有效实施</w:t>
            </w:r>
            <w:r>
              <w:rPr>
                <w:rFonts w:hint="eastAsia" w:ascii="宋体" w:hAnsi="宋体" w:cs="宋体"/>
                <w:color w:val="000000"/>
                <w:sz w:val="21"/>
                <w:szCs w:val="21"/>
                <w:highlight w:val="none"/>
              </w:rPr>
              <w:t>。管理评审的输出不具体，需要改善</w:t>
            </w:r>
            <w:r>
              <w:rPr>
                <w:rFonts w:hint="eastAsia" w:ascii="宋体" w:hAnsi="宋体"/>
                <w:color w:val="000000" w:themeColor="text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hint="eastAsia" w:ascii="宋体" w:hAnsi="宋体"/>
                <w:b/>
                <w:sz w:val="20"/>
              </w:rPr>
            </w:pPr>
            <w:r>
              <w:rPr>
                <w:rFonts w:hint="eastAsia" w:ascii="宋体" w:hAnsi="宋体"/>
                <w:b/>
                <w:sz w:val="20"/>
                <w:lang w:val="en-US" w:eastAsia="zh-CN"/>
              </w:rPr>
              <w:t>5.</w:t>
            </w:r>
            <w:r>
              <w:rPr>
                <w:rFonts w:ascii="宋体" w:hAnsi="宋体"/>
                <w:b/>
                <w:sz w:val="20"/>
              </w:rPr>
              <w:t xml:space="preserve"> EMS</w:t>
            </w:r>
            <w:r>
              <w:rPr>
                <w:rFonts w:hint="eastAsia" w:ascii="宋体" w:hAnsi="宋体"/>
                <w:b/>
                <w:sz w:val="20"/>
              </w:rPr>
              <w:t>是否按规定对主要污染物（污水、废气、噪声、废渣等）及排放实施了例行的监视或测量，结果是否满足相关要求？</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ascii="宋体" w:hAnsi="宋体"/>
                <w:b/>
                <w:sz w:val="20"/>
              </w:rPr>
            </w:pPr>
            <w:r>
              <w:rPr>
                <w:rFonts w:hint="eastAsia" w:ascii="宋体" w:hAnsi="宋体"/>
                <w:b/>
                <w:sz w:val="20"/>
                <w:lang w:val="en-US" w:eastAsia="zh-CN"/>
              </w:rPr>
              <w:t>6.</w:t>
            </w:r>
            <w:r>
              <w:rPr>
                <w:rFonts w:ascii="宋体" w:hAnsi="宋体"/>
                <w:b/>
                <w:sz w:val="20"/>
              </w:rPr>
              <w:t xml:space="preserve">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0" w:hanging="100" w:hangingChars="50"/>
              <w:rPr>
                <w:rFonts w:ascii="宋体"/>
                <w:b/>
                <w:sz w:val="20"/>
              </w:rPr>
            </w:pPr>
            <w:r>
              <w:rPr>
                <w:rFonts w:ascii="宋体" w:hAnsi="宋体"/>
                <w:b/>
                <w:sz w:val="20"/>
              </w:rPr>
              <w:t>7.OHSMS</w:t>
            </w:r>
            <w:r>
              <w:rPr>
                <w:rFonts w:hint="eastAsia" w:ascii="宋体" w:hAnsi="宋体"/>
                <w:b/>
                <w:sz w:val="20"/>
              </w:rPr>
              <w:t>是否按规定对职业健康安全项目进行定期测量，结果是否满足相关要求：</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r>
              <w:rPr>
                <w:rFonts w:hint="eastAsia"/>
                <w:b/>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vAlign w:val="top"/>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rFonts w:hint="eastAsia" w:eastAsia="宋体"/>
                <w:b/>
                <w:spacing w:val="-20"/>
                <w:szCs w:val="21"/>
                <w:lang w:eastAsia="zh-CN"/>
              </w:rPr>
            </w:pPr>
            <w:r>
              <w:rPr>
                <w:rFonts w:hint="eastAsia"/>
                <w:b/>
                <w:spacing w:val="-20"/>
                <w:szCs w:val="21"/>
                <w:lang w:eastAsia="zh-CN"/>
              </w:rPr>
              <w:t>无</w:t>
            </w:r>
          </w:p>
          <w:p>
            <w:pPr>
              <w:spacing w:line="240" w:lineRule="exact"/>
              <w:rPr>
                <w:rFonts w:ascii="宋体" w:hAnsi="宋体"/>
                <w:b/>
                <w:sz w:val="21"/>
                <w:szCs w:val="21"/>
              </w:rPr>
            </w:pP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restart"/>
            <w:vAlign w:val="center"/>
          </w:tcPr>
          <w:p>
            <w:pPr>
              <w:spacing w:line="240" w:lineRule="exact"/>
              <w:jc w:val="center"/>
              <w:rPr>
                <w:b/>
                <w:sz w:val="20"/>
                <w:highlight w:val="yellow"/>
              </w:rPr>
            </w:pPr>
          </w:p>
        </w:tc>
        <w:tc>
          <w:tcPr>
            <w:tcW w:w="9198" w:type="dxa"/>
            <w:vAlign w:val="top"/>
          </w:tcPr>
          <w:p>
            <w:pPr>
              <w:numPr>
                <w:ilvl w:val="0"/>
                <w:numId w:val="2"/>
              </w:numPr>
              <w:spacing w:line="240" w:lineRule="exact"/>
              <w:ind w:left="100" w:leftChars="0" w:hanging="100" w:hangingChars="50"/>
              <w:rPr>
                <w:rFonts w:hint="eastAsia"/>
                <w:b/>
                <w:spacing w:val="-20"/>
                <w:szCs w:val="21"/>
                <w:highlight w:val="none"/>
              </w:rPr>
            </w:pPr>
            <w:r>
              <w:rPr>
                <w:rFonts w:hint="eastAsia"/>
                <w:b/>
                <w:spacing w:val="-20"/>
                <w:szCs w:val="21"/>
                <w:highlight w:val="none"/>
              </w:rPr>
              <w:t>创新情况</w:t>
            </w:r>
          </w:p>
          <w:p>
            <w:pPr>
              <w:numPr>
                <w:ilvl w:val="0"/>
                <w:numId w:val="0"/>
              </w:numPr>
              <w:spacing w:line="240" w:lineRule="exact"/>
              <w:ind w:leftChars="-50"/>
              <w:rPr>
                <w:rFonts w:hint="eastAsia" w:eastAsia="宋体"/>
                <w:b/>
                <w:spacing w:val="-20"/>
                <w:szCs w:val="21"/>
                <w:highlight w:val="none"/>
                <w:lang w:eastAsia="zh-CN"/>
              </w:rPr>
            </w:pPr>
            <w:r>
              <w:rPr>
                <w:rFonts w:hint="eastAsia"/>
                <w:b/>
                <w:spacing w:val="-20"/>
                <w:szCs w:val="21"/>
                <w:highlight w:val="none"/>
                <w:lang w:eastAsia="zh-CN"/>
              </w:rPr>
              <w:t>无</w:t>
            </w:r>
          </w:p>
          <w:p>
            <w:pPr>
              <w:numPr>
                <w:ilvl w:val="0"/>
                <w:numId w:val="0"/>
              </w:numPr>
              <w:spacing w:line="240" w:lineRule="exact"/>
              <w:ind w:left="-120" w:leftChars="-50" w:firstLine="0" w:firstLineChars="0"/>
              <w:rPr>
                <w:rFonts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sz w:val="20"/>
                <w:highlight w:val="yellow"/>
              </w:rPr>
            </w:pPr>
          </w:p>
        </w:tc>
        <w:tc>
          <w:tcPr>
            <w:tcW w:w="9198" w:type="dxa"/>
            <w:vAlign w:val="top"/>
          </w:tcPr>
          <w:p>
            <w:pPr>
              <w:numPr>
                <w:ilvl w:val="0"/>
                <w:numId w:val="2"/>
              </w:numPr>
              <w:spacing w:line="240" w:lineRule="exact"/>
              <w:ind w:left="120" w:leftChars="0" w:hanging="120" w:hangingChars="50"/>
              <w:rPr>
                <w:rFonts w:hint="eastAsia"/>
                <w:b/>
                <w:szCs w:val="21"/>
                <w:highlight w:val="none"/>
              </w:rPr>
            </w:pPr>
            <w:r>
              <w:rPr>
                <w:rFonts w:hint="eastAsia"/>
                <w:b/>
                <w:szCs w:val="21"/>
                <w:highlight w:val="none"/>
              </w:rPr>
              <w:t>上次不符合的整改情况</w:t>
            </w:r>
          </w:p>
          <w:p>
            <w:pPr>
              <w:numPr>
                <w:ilvl w:val="0"/>
                <w:numId w:val="0"/>
              </w:numPr>
              <w:spacing w:line="240" w:lineRule="exact"/>
              <w:ind w:left="-120" w:leftChars="-50" w:firstLine="0" w:firstLineChars="0"/>
              <w:rPr>
                <w:rFonts w:ascii="宋体" w:hAnsi="宋体"/>
                <w:b/>
                <w:sz w:val="21"/>
                <w:szCs w:val="21"/>
                <w:highlight w:val="none"/>
              </w:rPr>
            </w:pPr>
            <w:r>
              <w:rPr>
                <w:rFonts w:hint="eastAsia"/>
                <w:b/>
                <w:szCs w:val="21"/>
                <w:highlight w:val="none"/>
                <w:lang w:eastAsia="zh-CN"/>
              </w:rPr>
              <w:t>上次不符合</w:t>
            </w:r>
            <w:r>
              <w:rPr>
                <w:rFonts w:hint="eastAsia"/>
                <w:b/>
                <w:szCs w:val="21"/>
                <w:highlight w:val="none"/>
                <w:lang w:val="en-US" w:eastAsia="zh-CN"/>
              </w:rPr>
              <w:t>为8.2.3条款，经本次审核验证均整改且无类似不符合情况出现。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1688465</wp:posOffset>
            </wp:positionH>
            <wp:positionV relativeFrom="paragraph">
              <wp:posOffset>200660</wp:posOffset>
            </wp:positionV>
            <wp:extent cx="466090" cy="329565"/>
            <wp:effectExtent l="0" t="0" r="10160" b="1397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66090" cy="32956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hint="default" w:eastAsia="宋体"/>
          <w:lang w:val="en-US" w:eastAsia="zh-CN"/>
        </w:rPr>
        <w:drawing>
          <wp:anchor distT="0" distB="0" distL="114300" distR="114300" simplePos="0" relativeHeight="251663360" behindDoc="0" locked="0" layoutInCell="1" allowOverlap="1">
            <wp:simplePos x="0" y="0"/>
            <wp:positionH relativeFrom="column">
              <wp:posOffset>1768475</wp:posOffset>
            </wp:positionH>
            <wp:positionV relativeFrom="paragraph">
              <wp:posOffset>85090</wp:posOffset>
            </wp:positionV>
            <wp:extent cx="494030" cy="365760"/>
            <wp:effectExtent l="0" t="0" r="1270" b="15240"/>
            <wp:wrapSquare wrapText="bothSides"/>
            <wp:docPr id="2" name="图片 2" descr="蒋德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蒋德元"/>
                    <pic:cNvPicPr>
                      <a:picLocks noChangeAspect="1"/>
                    </pic:cNvPicPr>
                  </pic:nvPicPr>
                  <pic:blipFill>
                    <a:blip r:embed="rId7"/>
                    <a:stretch>
                      <a:fillRect/>
                    </a:stretch>
                  </pic:blipFill>
                  <pic:spPr>
                    <a:xfrm>
                      <a:off x="0" y="0"/>
                      <a:ext cx="494030" cy="36576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2020.12.04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9" w:firstLineChars="343"/>
        <w:rPr>
          <w:rFonts w:hint="eastAsia"/>
          <w:b/>
          <w:sz w:val="21"/>
          <w:szCs w:val="21"/>
        </w:rPr>
      </w:pPr>
      <w:r>
        <w:rPr>
          <w:rFonts w:hint="eastAsia" w:ascii="宋体" w:hAnsi="宋体"/>
          <w:b/>
          <w:kern w:val="0"/>
          <w:sz w:val="20"/>
          <w:szCs w:val="20"/>
        </w:rPr>
        <w:drawing>
          <wp:anchor distT="0" distB="0" distL="114300" distR="114300" simplePos="0" relativeHeight="251667456" behindDoc="0" locked="0" layoutInCell="1" allowOverlap="1">
            <wp:simplePos x="0" y="0"/>
            <wp:positionH relativeFrom="column">
              <wp:posOffset>1303655</wp:posOffset>
            </wp:positionH>
            <wp:positionV relativeFrom="paragraph">
              <wp:posOffset>113030</wp:posOffset>
            </wp:positionV>
            <wp:extent cx="466090" cy="329565"/>
            <wp:effectExtent l="0" t="0" r="10160" b="1397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466090" cy="329565"/>
                    </a:xfrm>
                    <a:prstGeom prst="rect">
                      <a:avLst/>
                    </a:prstGeom>
                    <a:noFill/>
                    <a:ln>
                      <a:noFill/>
                    </a:ln>
                  </pic:spPr>
                </pic:pic>
              </a:graphicData>
            </a:graphic>
          </wp:anchor>
        </w:drawing>
      </w: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52F48"/>
    <w:multiLevelType w:val="singleLevel"/>
    <w:tmpl w:val="ABE52F48"/>
    <w:lvl w:ilvl="0" w:tentative="0">
      <w:start w:val="8"/>
      <w:numFmt w:val="decimal"/>
      <w:suff w:val="space"/>
      <w:lvlText w:val="%1."/>
      <w:lvlJc w:val="left"/>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B17DB1"/>
    <w:rsid w:val="05A554ED"/>
    <w:rsid w:val="0FFD2903"/>
    <w:rsid w:val="15D36043"/>
    <w:rsid w:val="183958BD"/>
    <w:rsid w:val="1F6F5219"/>
    <w:rsid w:val="22D91FD6"/>
    <w:rsid w:val="22F257DA"/>
    <w:rsid w:val="2B95745E"/>
    <w:rsid w:val="358F3EFB"/>
    <w:rsid w:val="3A765B8C"/>
    <w:rsid w:val="3FE35209"/>
    <w:rsid w:val="416861BF"/>
    <w:rsid w:val="435D11AC"/>
    <w:rsid w:val="48001440"/>
    <w:rsid w:val="51211F74"/>
    <w:rsid w:val="622721C6"/>
    <w:rsid w:val="658E3BDC"/>
    <w:rsid w:val="677129DB"/>
    <w:rsid w:val="67EA4718"/>
    <w:rsid w:val="6B725EA3"/>
    <w:rsid w:val="77842411"/>
    <w:rsid w:val="77FD7FC3"/>
    <w:rsid w:val="7A9A6505"/>
    <w:rsid w:val="7FD51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2020-12-03T06:08:34Z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