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31"/>
        <w:gridCol w:w="1245"/>
        <w:gridCol w:w="1267"/>
        <w:gridCol w:w="1281"/>
        <w:gridCol w:w="1495"/>
        <w:gridCol w:w="1708"/>
        <w:gridCol w:w="13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223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88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四川蜀畅达肉类食品有限责任公司</w:t>
            </w:r>
            <w:bookmarkEnd w:id="4"/>
          </w:p>
        </w:tc>
        <w:tc>
          <w:tcPr>
            <w:tcW w:w="170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03.01.01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蒋得元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03.01.01</w:t>
            </w: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0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李林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无</w:t>
            </w:r>
          </w:p>
        </w:tc>
        <w:tc>
          <w:tcPr>
            <w:tcW w:w="12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6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牛的宰杀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宰前检验--击晕—放血—悬挂去蹄、结扎肛门--去头--扎食管-剥皮-开膛-宰后检验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牛的加工</w:t>
            </w:r>
          </w:p>
          <w:p>
            <w:pPr>
              <w:snapToGrid w:val="0"/>
              <w:spacing w:line="36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劈半-修整-冲淋-排酸-劈四分体-剔骨分割-内包装-真空热浸-外包装-金属探测-成品检验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特殊过程：排酸，排酸作业指导书；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外包过程：育肥过程。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outlineLvl w:val="0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中华人民共和国劳动法、中华人民共和国消费者权益保护法、中华人民共和国合同法、中华人民共和国产品质量法、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食品安全法、检验检疫法、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中华人民共和国食品安全法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动物检疫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管理办法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等法律法规。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"http://www.csres.com/detail/59907.html"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19477-2004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牛屠宰操作规程、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"http://www.csres.com/detail/192695.html"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GB/T 17238-2008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鲜、冻分割牛肉、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"http://www.csres.com/detail/293811.html"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 2707-2016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食品安全国家标准 鲜（冻）畜、禽产品、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"http://www.csres.com/detail/61644.html" \t "http://www.csres.com/_blank"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GB 18394-2001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畜禽肉水分限量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GB14881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食品生产通用</w:t>
            </w: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</w:rPr>
              <w:t>卫生规范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GB7718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食品安全国家标准预包装食品标签通则等标准。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</w:t>
            </w:r>
            <w:r>
              <w:rPr>
                <w:rFonts w:hint="eastAsia"/>
                <w:b/>
                <w:sz w:val="20"/>
                <w:highlight w:val="none"/>
              </w:rPr>
              <w:t>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365" w:type="dxa"/>
            <w:gridSpan w:val="6"/>
            <w:vAlign w:val="center"/>
          </w:tcPr>
          <w:p>
            <w:pPr>
              <w:widowControl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kern w:val="44"/>
                <w:sz w:val="21"/>
                <w:szCs w:val="21"/>
                <w:highlight w:val="none"/>
                <w:lang w:val="en-US" w:eastAsia="zh-CN" w:bidi="ar"/>
              </w:rPr>
              <w:t>按国标（GB/T17238-2008）对每批次鲜冻分割牛肉进行检验，规定了出厂检验项目:感官要求、菌落数等，提供有鲜、冻牛肉检验原始记录等。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233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365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 w:hAnsi="Times New Roman" w:eastAsia="宋体" w:cs="Times New Roman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77470</wp:posOffset>
            </wp:positionV>
            <wp:extent cx="481330" cy="356235"/>
            <wp:effectExtent l="0" t="0" r="13970" b="5715"/>
            <wp:wrapSquare wrapText="bothSides"/>
            <wp:docPr id="1" name="图片 1" descr="蒋德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蒋德元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Times New Roman" w:eastAsia="宋体" w:cs="Times New Roman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4460240</wp:posOffset>
            </wp:positionH>
            <wp:positionV relativeFrom="paragraph">
              <wp:posOffset>51435</wp:posOffset>
            </wp:positionV>
            <wp:extent cx="474980" cy="335915"/>
            <wp:effectExtent l="0" t="0" r="1270" b="6350"/>
            <wp:wrapSquare wrapText="bothSides"/>
            <wp:docPr id="2" name="图片 2" descr="李林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林签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2020.12.04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</w:t>
      </w:r>
      <w:r>
        <w:rPr>
          <w:rFonts w:hint="eastAsia" w:ascii="宋体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审核组长：   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2020.12.04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D1632BE"/>
    <w:rsid w:val="0F424126"/>
    <w:rsid w:val="0FAD0EA1"/>
    <w:rsid w:val="15884FC9"/>
    <w:rsid w:val="2BC370C9"/>
    <w:rsid w:val="30791626"/>
    <w:rsid w:val="312332CC"/>
    <w:rsid w:val="36DE0774"/>
    <w:rsid w:val="3D884527"/>
    <w:rsid w:val="4BA57351"/>
    <w:rsid w:val="4F136715"/>
    <w:rsid w:val="55B917E0"/>
    <w:rsid w:val="5FBD5172"/>
    <w:rsid w:val="68FF3BBB"/>
    <w:rsid w:val="6D223E61"/>
    <w:rsid w:val="73DD5CC2"/>
    <w:rsid w:val="7502361F"/>
    <w:rsid w:val="7892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2020-12-03T03:12:51Z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