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070"/>
        <w:gridCol w:w="11109"/>
        <w:gridCol w:w="63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7" w:type="dxa"/>
            <w:vMerge w:val="restart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过程与活动、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抽样计划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涉及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条款</w:t>
            </w:r>
          </w:p>
        </w:tc>
        <w:tc>
          <w:tcPr>
            <w:tcW w:w="11109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受审核部门：管理层 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、业务部、品质部、生产部         主管领导：</w:t>
            </w:r>
            <w:r>
              <w:rPr>
                <w:rFonts w:hint="eastAsia"/>
              </w:rPr>
              <w:t>王清旺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      陪同人员：</w:t>
            </w:r>
            <w:r>
              <w:rPr>
                <w:rFonts w:hint="eastAsia"/>
              </w:rPr>
              <w:t>张焦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审核员：李京田  </w:t>
            </w:r>
            <w:r>
              <w:rPr>
                <w:rFonts w:hint="eastAsia"/>
                <w:sz w:val="18"/>
                <w:szCs w:val="18"/>
              </w:rPr>
              <w:t>张玉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刘艳铃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       审核时间：2020.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12.6</w:t>
            </w:r>
          </w:p>
        </w:tc>
        <w:tc>
          <w:tcPr>
            <w:tcW w:w="823" w:type="dxa"/>
            <w:gridSpan w:val="2"/>
            <w:vMerge w:val="continue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823" w:type="dxa"/>
            <w:gridSpan w:val="2"/>
            <w:vMerge w:val="continue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理解组织及其环境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 4.1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襄阳天海汽车部件有限公司,2006年07月17日成立，经营范围包括汽车电子产品研发、生产、销售；电子电器产品加工、销售；汽车销售；普通机械设备、内燃机零部件、汽车零部件、发动机组、水泵机组销售；发动机维修；货物及技术进出口（不含国家禁止或限制进出口的货物或技术）；线束、充电桩、高压配电箱的研发。（依法须经批准的项目，经相关部门批准后方可开展经营活动）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现场见到营业执照，审核范围在其经营范围内，营业执照，见附件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公司提供的</w:t>
            </w:r>
            <w:r>
              <w:rPr>
                <w:rFonts w:hint="eastAsia" w:ascii="宋体" w:hAnsi="宋体"/>
                <w:szCs w:val="21"/>
              </w:rPr>
              <w:t>汽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车电子产品（高低压线束）的生产和销售（许可范围内除外）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产品价格低廉，性能稳定、深受用户好评；本公司把提供价廉物美，质量可靠的产品是我们始终不变的理念，我们会把您的满意作为我们永恒的追求。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多年来公司主营业务坚持走独立创新的持续发展之路，公司掌握着产品销售和技术开发领域的核心产品，也正面临着良好的市场机遇，具有广阔的发展空间。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公司自成立以来，始终坚持以人才为本、诚信立业的经营原则，荟萃业界精英，将先进的信息技术、管理方法及企业经验与业内企业的具体实际相结合，为企业提供全方位的解决方案，帮助企业提高管理水平和销售能力，使企业在激烈的市场竞争中始终保持竞争力，实现企业快速、稳定地发展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理解相关方的需求和期望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4.2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与公司领导交流，各部门和相关职能部门通过日常例会、市场活动、现场拜访、产品展销会、客户调查等多种渠道和方式方法随时了解相关方的需求和期望。内外部环境要素识别与评估：在每年的管理评审前，由相关部门负责人进行识别并评估其适宜性。以便于持续满足相关方的需求和期望。做为公司经营风险分析和发展机遇的可利用资源。内外部相关方需求分析高管层分析很到位，政策执行也好，未形成很好的书面材料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公司运营过程中充分考虑相关方方面的期望或要求，识别的相关方有：顾客、最终用户或受益人、业主，股东、员工等。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确定管理体系的范围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Q4.3</w:t>
            </w: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公司认证的范围是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bookmarkStart w:id="0" w:name="审核范围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Q：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汽车电子产品（高低压线束）的生产和销售（许可范围内除外） , 认证范围在经营范围内。</w:t>
            </w:r>
          </w:p>
          <w:bookmarkEnd w:id="0"/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外包过程：无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不适用条款：8.3不适用理由：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汽车电子产品（高低压线束）的生产和销售（许可范围内除外）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，自体系建立以来配方未有更改过，工艺及设备固定。整个生产过程不涉及设计新产品的内容。该条款的不适用不影响满足客户产品质量要求及法律法规要求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管理体系及其过程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Q4.4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本公司按照 ISO9001:2015《质量管理体系要求》标准的要求，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建立了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质量/环境/职业健康安全管理体系,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过程及其相互作用，并形成文件，本公司全体员工将有效地贯彻执行并持续改进其有效性。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公司与2020年初对质量管理体系进行策划，识别了各个过程等，编制了管理手册、程序文件、支持性文件及记录，于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日发布、 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日实施。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经过半年的运行，管理体系运行正常。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管理方针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Q5.2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公司的质量/环境方针是：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 xml:space="preserve">              </w:t>
            </w:r>
            <w:r>
              <w:rPr>
                <w:rFonts w:hint="eastAsia"/>
              </w:rPr>
              <w:t>精益求精、质量第一、顾客满意。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公司的质量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方针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已经形成文件并获得保持。总经理作为公司的最高管理者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进行制定和批准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，通过培训、教育或会议等方式在公司内部沟通、推广质量/环境/职业健康安全方针，使公司各级人员理解质量/环境/职业健康安全方针并应用。适宜时，可作为宣传向有关相关方提供。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管理目标及其实现的策划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Q6.2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公司管理层以公司的质量方针为框架，结合公司的实际运营情况，制定公司的质量目标，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质量目标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产品一次交检合格率≥90%；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顾客满意率≥94分，在此基础上逐年提高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管理目标于2020年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1-11月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日进行考核。目标完成情况良好。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目标分解到各个部门，具体见二阶段各部门审核记录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资源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Q7.1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司注册地址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：</w:t>
            </w:r>
            <w:bookmarkStart w:id="1" w:name="注册地址"/>
            <w:r>
              <w:rPr>
                <w:color w:val="auto"/>
              </w:rPr>
              <w:t>襄阳市高新区富康大道风和园</w:t>
            </w:r>
            <w:bookmarkEnd w:id="1"/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生产经营地址位于</w:t>
            </w:r>
            <w:bookmarkStart w:id="2" w:name="生产地址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：</w:t>
            </w:r>
            <w:bookmarkEnd w:id="2"/>
            <w:r>
              <w:rPr>
                <w:color w:val="auto"/>
              </w:rPr>
              <w:t>襄阳市高新区二汽基地东风商业园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面积：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公司整个厂区约800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0平，车间3000平，仓库2000平。办公室1500平。，有配套的电脑打印机、电话及环保消防设备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生产设备有：自动下线机（低压）、压接设备（低压）、气动中剥机（低压）、热缩设备、注胶设备</w:t>
            </w:r>
          </w:p>
          <w:p>
            <w:pPr>
              <w:rPr>
                <w:rFonts w:hint="default" w:ascii="宋体" w:hAnsi="宋体" w:eastAsia="宋体" w:cs="Times New Roman"/>
                <w:color w:val="FF0000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监测设备有：</w:t>
            </w:r>
            <w:r>
              <w:rPr>
                <w:rFonts w:hint="default"/>
                <w:color w:val="FF0000"/>
                <w:lang w:val="en-US" w:eastAsia="zh-CN"/>
              </w:rPr>
              <w:t>游标卡尺、钢卷尺、万用表、拉力计</w:t>
            </w:r>
            <w:r>
              <w:rPr>
                <w:rFonts w:hint="eastAsia"/>
                <w:color w:val="FF0000"/>
                <w:lang w:val="en-US" w:eastAsia="zh-CN"/>
              </w:rPr>
              <w:t>，未能出示检验报告，不符合</w:t>
            </w:r>
            <w:r>
              <w:rPr>
                <w:rFonts w:hint="eastAsia" w:ascii="宋体" w:hAnsi="宋体" w:eastAsia="宋体" w:cs="Times New Roman"/>
                <w:color w:val="FF0000"/>
                <w:kern w:val="2"/>
                <w:sz w:val="18"/>
                <w:szCs w:val="22"/>
                <w:lang w:val="en-US" w:eastAsia="zh-CN" w:bidi="ar-SA"/>
              </w:rPr>
              <w:t xml:space="preserve"> 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有办公设备电脑、办公桌椅、电脑、电话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有具有专业的技术人员、生产人员、销售人员。经过核实，企业人数为2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人，与任务书人数一致。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无特殊岗位人员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文件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Q7.5</w:t>
            </w: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----有《文件、记录控制程序》，体系文件生效实施日期为2020年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月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日，文件规定了质量手册及文件的编制、审批、评审、编号、回收、发放、更改、换版、作废等的管理和控制。根据一阶段问题清单进行了对《管理手册》和程序文件的修改和完善。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有《体系受控文件清单》，包括管理手册、程序文件18个，另有公司制定的《员工手册》、《规范文件》等文件。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《规范文件》包括：岗位职责;劳动合同管理；劳动安全卫生与劳动保护；安全生产管理及现场控制程序、进料检验规范等。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查：《文件发放、回收登记表》，抽查文件发放情况，有收文、发文的确认签字，符合文件发放规定。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· 查文件的评审及更新：管理评审时对文件的适宜性及可操作性进行评审：适宜、可操作。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 查文件的作废：暂无作废文件。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电子文档需要责任部门留下发放记录，并告知换页处置要求。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文件按需求和公司管理规定发放至有关部门和人员，查有发放记录，符合。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待改进：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未对电子文档的安全性管理做出明确规定。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----有《记录控制程序》，对记录表单的设计、编号、填写、贮存、保管、保护、检索、保存期限、到期处置等方面规定了要求并按此程序控制。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提供《记录清单（含质量、环境安全）》，规定了记录的名称、编号、责任部门、保存期限等内容。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核对标准规定的应保留的记录和保存期限，标准所规定的记录均涵盖，保存期限规定的合理。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记录清单中对记录的管理、控制进行明确的分工。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主要负责归档公司质量、环境及职业健康安全的标识、编目、保管、贮存，负责本程序的归口管理。见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保管的记录：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a. 法律、法规及其他要求清单；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b.年度培训计划等记录；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c.管理评审计划等记录；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d. 危险源辨识及风险评价台帐；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e. 质量目标完成情况统计表；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f:职业健康安全目标指标和管理方案。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所见记录反映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能够按照记录控制要求进行管理，记录保存完整，填写清晰、工整。记录控制符合要求。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管理评审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Q9.3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公司于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2020年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17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日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在公司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会议室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进行了管理评审，管理评审制定了一项改进措施：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组织培训学习新标准具体内容及要求，加强对ISO9001：2015标准的学习和理解，学以致用，落实到企业日常运营中去，使企业体系管理日常化、标准化。由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负责 采取的措施及进度时间表：预计以下工作全部在2020年底完成。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组织对标准和管理体系文件培训学习的问题：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办公室负责制定了专项培训学习计划并负责具体实施。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产品运行策划和控制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72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范围：</w:t>
            </w:r>
            <w:r>
              <w:rPr>
                <w:rFonts w:hint="eastAsia" w:ascii="宋体" w:hAnsi="宋体"/>
                <w:szCs w:val="21"/>
              </w:rPr>
              <w:t xml:space="preserve">汽车电子产品（高低压线束）的生产和销售（许可范围内除外） 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1.制定管理目标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准时交货率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≥95%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每季度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按时交货批数/下单批数*100%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实现进行策划，质量目标已达到顾客要求；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提供了《生产及服务提供控制程序》、《监视、测量、分析和评价控制》、《不合格输出控制程序》等对产品、质检和合同应进行质量策划。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执行产品的标准 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G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B/T1804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一般公差 线性尺寸的未注公差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GB/T11335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未注公差角度的极限偏差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GB/T 37133-2018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电动汽车用高压大电流线束和连接器技术要求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国家市场监督管理总局.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2019-07-01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现行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QC/T 1067.1-2017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汽车电线束和电气设备用连接器 第1部分：定义、试验方法和一般性能要求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工业和信息化部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2017-07-01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现行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QC/T 1067.2-2017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汽车电线束和电气设备用连接器 第2部分：插头端子的型式和尺寸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工业和信息化部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2017-07-01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现行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QC/T 1067.3-2017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汽车电线束和电气设备用连接器 第3部分：电线接头的型式、尺寸和特殊要求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工业和信息化部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2017-07-01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现行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QC/T 29106-2014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汽车电线束技术条件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工业和信息化部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2014-10-01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现行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产品实现流程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汽车电子产品（高低压线束）的生产流程：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断线－－A端压接－拉力测试－超声波－拉力测试－装端套1－布线－－剪线－切波纹管－－B端压接－拉力测试－装端套2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－测试－装辅件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销售流程：确定顾客要求--商务谈判--签订合同--采购产品--产品交付--售后服务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关键过程：端压接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特殊过程：销售过程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设备：</w:t>
            </w:r>
            <w:r>
              <w:rPr>
                <w:rFonts w:hint="eastAsia"/>
                <w:lang w:val="en-US" w:eastAsia="zh-CN"/>
              </w:rPr>
              <w:t>自动下线机（低压）、压接设备（低压）、气动中剥机（低压）、热缩设备、注胶设备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等 满足现经营要求；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4.接收准则:依据验收交付规范、合同、相关标准、用户要求等进行接收，以保证交付的产品满足要求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5.记录：策划有委托设计合同、内部审核检查表、首末次会议记录、特殊过程确认记录、研发过程记录、检验记录等，基本满足产品实现需要。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目前策划基本充分。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提供有生产过程记录、检验过程记录、成品放行记录，二阶段详查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设计开发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Q8.3</w:t>
            </w:r>
          </w:p>
        </w:tc>
        <w:tc>
          <w:tcPr>
            <w:tcW w:w="11172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不适用，理由：因该公司的</w:t>
            </w:r>
            <w:r>
              <w:rPr>
                <w:rFonts w:hint="eastAsia" w:ascii="宋体" w:hAnsi="宋体"/>
                <w:szCs w:val="21"/>
              </w:rPr>
              <w:t xml:space="preserve">汽车电子产品（高低压线束）的生产和销售（许可范围内除外）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，按照顾客的要求进行，该条款的不适用,不影响组织确保其产品和服务合格的能力和责任，也不会对增强顾客满意产生影响  </w:t>
            </w:r>
          </w:p>
        </w:tc>
        <w:tc>
          <w:tcPr>
            <w:tcW w:w="760" w:type="dxa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合同评审、客户沟通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Q8.2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Q8.4</w:t>
            </w:r>
          </w:p>
        </w:tc>
        <w:tc>
          <w:tcPr>
            <w:tcW w:w="11172" w:type="dxa"/>
            <w:gridSpan w:val="2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采购控制：按文件要求对供应商进行评价选择及考核，签订采购合同，采购满足公司要求的原材料。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销售控制：按文件要求对订单进行评审后签订合同，在交期时间内采购、组织生产加工，交付满足要求的产品，做好售后服务工作。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提供有</w:t>
            </w:r>
            <w:r>
              <w:rPr>
                <w:rFonts w:hint="eastAsia" w:ascii="宋体" w:hAnsi="宋体"/>
                <w:szCs w:val="21"/>
              </w:rPr>
              <w:t xml:space="preserve">汽车电子产品（高低压线束）的生产和销售（许可范围内除外）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的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购合同，二阶段详查</w:t>
            </w:r>
          </w:p>
        </w:tc>
        <w:tc>
          <w:tcPr>
            <w:tcW w:w="760" w:type="dxa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是否具备二阶段审核结论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第二阶段重要审核点等相关内容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通过一阶段对受审核方的管理、办公及生产现场巡视和观察，对管理体系绩效要求有重大影响的过程、活动、场所和现场运行进行观察、巡视及总体性评价，组织具备二阶段审核条件，可进行二阶段审核。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二阶段重点审核：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Q:生产过程、检验过程、采购过程、销售过程等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重点审核部门：生产部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重点审核场所：生产场所、办公场所。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审核时间：2020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.12.11-2020.12.11</w:t>
            </w:r>
            <w:bookmarkStart w:id="3" w:name="_GoBack"/>
            <w:bookmarkEnd w:id="3"/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</w:tbl>
    <w:p>
      <w:r>
        <w:ptab w:relativeTo="margin" w:alignment="center" w:leader="none"/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A7461A"/>
    <w:rsid w:val="06870A55"/>
    <w:rsid w:val="07B94772"/>
    <w:rsid w:val="08AB0D8C"/>
    <w:rsid w:val="0A5A6EA3"/>
    <w:rsid w:val="195869E9"/>
    <w:rsid w:val="1AA06E80"/>
    <w:rsid w:val="25C82469"/>
    <w:rsid w:val="2C337907"/>
    <w:rsid w:val="2CEC5A95"/>
    <w:rsid w:val="31B2019F"/>
    <w:rsid w:val="3C837C5B"/>
    <w:rsid w:val="40131989"/>
    <w:rsid w:val="401F0C05"/>
    <w:rsid w:val="524E1D06"/>
    <w:rsid w:val="56B13C77"/>
    <w:rsid w:val="57F044AE"/>
    <w:rsid w:val="5CD12550"/>
    <w:rsid w:val="5EBA30B1"/>
    <w:rsid w:val="62145B83"/>
    <w:rsid w:val="62D94E90"/>
    <w:rsid w:val="69B0056D"/>
    <w:rsid w:val="69B967C5"/>
    <w:rsid w:val="7A4432EE"/>
    <w:rsid w:val="7CD31618"/>
    <w:rsid w:val="7E131324"/>
    <w:rsid w:val="7F8D7D17"/>
    <w:rsid w:val="7FA322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_Style 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info-content-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2020-12-11T05:32:33Z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