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color w:val="000000"/>
          <w:sz w:val="24"/>
          <w:szCs w:val="24"/>
        </w:rPr>
        <w:t>0646-2020-QEO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河北钦芃新型建材有限公司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李蒙生</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Q:16.02.06</w:t>
            </w:r>
          </w:p>
          <w:p>
            <w:pPr>
              <w:spacing w:line="240" w:lineRule="exact"/>
              <w:jc w:val="center"/>
              <w:rPr>
                <w:b/>
                <w:color w:val="000000"/>
                <w:sz w:val="20"/>
                <w:szCs w:val="20"/>
              </w:rPr>
            </w:pPr>
            <w:r>
              <w:rPr>
                <w:b/>
                <w:color w:val="000000"/>
                <w:sz w:val="20"/>
                <w:szCs w:val="20"/>
              </w:rPr>
              <w:t>E:16.02.06</w:t>
            </w:r>
          </w:p>
          <w:p>
            <w:pPr>
              <w:spacing w:line="240" w:lineRule="exact"/>
              <w:jc w:val="center"/>
              <w:rPr>
                <w:b/>
                <w:color w:val="000000"/>
                <w:sz w:val="20"/>
                <w:szCs w:val="20"/>
              </w:rPr>
            </w:pPr>
            <w:r>
              <w:rPr>
                <w:b/>
                <w:color w:val="000000"/>
                <w:sz w:val="20"/>
                <w:szCs w:val="20"/>
              </w:rPr>
              <w:t>O:16.02.06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r>
              <w:rPr>
                <w:b/>
                <w:color w:val="000000"/>
                <w:sz w:val="20"/>
                <w:szCs w:val="20"/>
              </w:rPr>
              <w:t>Q:16.02.06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005"/>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河北钦芃新型建材有限公司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河北省唐山市玉田县河北玉田经济开发区</w:t>
            </w:r>
            <w:bookmarkEnd w:id="10"/>
          </w:p>
        </w:tc>
        <w:tc>
          <w:tcPr>
            <w:tcW w:w="100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795" w:type="dxa"/>
          </w:tcPr>
          <w:p>
            <w:pPr>
              <w:spacing w:line="280" w:lineRule="exact"/>
              <w:rPr>
                <w:rFonts w:ascii="宋体"/>
                <w:b/>
                <w:color w:val="000000"/>
                <w:sz w:val="20"/>
                <w:szCs w:val="20"/>
              </w:rPr>
            </w:pPr>
            <w:bookmarkStart w:id="11" w:name="注册邮编"/>
            <w:r>
              <w:rPr>
                <w:rFonts w:ascii="宋体"/>
                <w:b/>
                <w:color w:val="000000"/>
                <w:sz w:val="20"/>
                <w:szCs w:val="20"/>
              </w:rPr>
              <w:t>064100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河北省唐山市玉田经济开发区后湖产业园</w:t>
            </w:r>
            <w:bookmarkEnd w:id="12"/>
          </w:p>
        </w:tc>
        <w:tc>
          <w:tcPr>
            <w:tcW w:w="1005" w:type="dxa"/>
            <w:vMerge w:val="continue"/>
            <w:vAlign w:val="center"/>
          </w:tcPr>
          <w:p>
            <w:pPr>
              <w:spacing w:line="280" w:lineRule="exact"/>
              <w:jc w:val="center"/>
              <w:rPr>
                <w:rFonts w:ascii="宋体"/>
                <w:b/>
                <w:color w:val="000000"/>
                <w:sz w:val="20"/>
                <w:szCs w:val="20"/>
              </w:rPr>
            </w:pPr>
          </w:p>
        </w:tc>
        <w:tc>
          <w:tcPr>
            <w:tcW w:w="1795" w:type="dxa"/>
          </w:tcPr>
          <w:p>
            <w:pPr>
              <w:spacing w:line="280" w:lineRule="exact"/>
              <w:rPr>
                <w:rFonts w:ascii="宋体"/>
                <w:b/>
                <w:color w:val="000000"/>
                <w:sz w:val="20"/>
                <w:szCs w:val="20"/>
              </w:rPr>
            </w:pPr>
            <w:bookmarkStart w:id="13" w:name="生产邮编Add1"/>
            <w:r>
              <w:rPr>
                <w:rFonts w:ascii="宋体"/>
                <w:b/>
                <w:color w:val="000000"/>
                <w:sz w:val="20"/>
                <w:szCs w:val="20"/>
              </w:rPr>
              <w:t>064100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刘洪彬</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15810104398</w:t>
            </w:r>
            <w:bookmarkEnd w:id="15"/>
          </w:p>
        </w:tc>
        <w:tc>
          <w:tcPr>
            <w:tcW w:w="100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795"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邓长龙</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刘洪彬</w:t>
            </w:r>
            <w:bookmarkEnd w:id="18"/>
          </w:p>
        </w:tc>
        <w:tc>
          <w:tcPr>
            <w:tcW w:w="1005" w:type="dxa"/>
          </w:tcPr>
          <w:p>
            <w:pPr>
              <w:jc w:val="center"/>
              <w:rPr>
                <w:rFonts w:ascii="宋体"/>
                <w:b/>
                <w:color w:val="000000"/>
                <w:sz w:val="20"/>
                <w:szCs w:val="20"/>
              </w:rPr>
            </w:pPr>
            <w:r>
              <w:rPr>
                <w:rFonts w:hint="eastAsia" w:ascii="宋体"/>
                <w:b/>
                <w:color w:val="000000"/>
                <w:sz w:val="20"/>
                <w:szCs w:val="20"/>
              </w:rPr>
              <w:t>邮箱</w:t>
            </w:r>
          </w:p>
        </w:tc>
        <w:tc>
          <w:tcPr>
            <w:tcW w:w="1795" w:type="dxa"/>
          </w:tcPr>
          <w:p>
            <w:pPr>
              <w:rPr>
                <w:rFonts w:ascii="宋体"/>
                <w:b/>
                <w:color w:val="000000"/>
                <w:sz w:val="20"/>
                <w:szCs w:val="20"/>
              </w:rPr>
            </w:pPr>
            <w:bookmarkStart w:id="19" w:name="联系人邮箱Add1"/>
            <w:r>
              <w:rPr>
                <w:rFonts w:ascii="宋体"/>
                <w:b/>
                <w:color w:val="000000"/>
                <w:sz w:val="20"/>
                <w:szCs w:val="20"/>
              </w:rPr>
              <w:t>Qpblock@163.com</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2020年5月10日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Q：水泥制品（生态水利环保砌块、园林景观挡墙砌块、劈裂装饰砌块、高强度承重建筑砌块、环保透水路面砖）的生产</w:t>
            </w:r>
          </w:p>
          <w:p>
            <w:pPr>
              <w:spacing w:line="400" w:lineRule="exact"/>
              <w:rPr>
                <w:rFonts w:ascii="宋体" w:hAnsi="宋体"/>
                <w:b/>
                <w:color w:val="000000"/>
                <w:sz w:val="20"/>
                <w:szCs w:val="20"/>
              </w:rPr>
            </w:pPr>
            <w:r>
              <w:rPr>
                <w:rFonts w:ascii="宋体" w:hAnsi="宋体"/>
                <w:b/>
                <w:color w:val="000000"/>
                <w:sz w:val="20"/>
                <w:szCs w:val="20"/>
              </w:rPr>
              <w:t>E：水泥制品（生态水利环保砌块、园林景观挡墙砌块、劈裂装饰砌块、高强度承重建筑砌块、环保透水路面砖）的生产所涉及场所相关的环境管理活动</w:t>
            </w:r>
          </w:p>
          <w:p>
            <w:pPr>
              <w:spacing w:line="400" w:lineRule="exact"/>
              <w:rPr>
                <w:rFonts w:ascii="宋体" w:hAnsi="宋体"/>
                <w:b/>
                <w:color w:val="000000"/>
                <w:sz w:val="20"/>
                <w:szCs w:val="20"/>
              </w:rPr>
            </w:pPr>
            <w:r>
              <w:rPr>
                <w:rFonts w:ascii="宋体" w:hAnsi="宋体"/>
                <w:b/>
                <w:color w:val="000000"/>
                <w:sz w:val="20"/>
                <w:szCs w:val="20"/>
              </w:rPr>
              <w:t>O：水泥制品（生态水利环保砌块、园林景观挡墙砌块、劈裂装饰砌块、高强度承重建筑砌块、环保透水路面砖）的生产所涉及场所相关的职业健康安全管理活动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Q：16.02.06</w:t>
            </w:r>
          </w:p>
          <w:p>
            <w:pPr>
              <w:spacing w:line="280" w:lineRule="exact"/>
              <w:rPr>
                <w:rFonts w:ascii="宋体"/>
                <w:b/>
                <w:color w:val="000000"/>
                <w:sz w:val="20"/>
                <w:szCs w:val="20"/>
              </w:rPr>
            </w:pPr>
            <w:r>
              <w:rPr>
                <w:rFonts w:ascii="宋体"/>
                <w:b/>
                <w:color w:val="000000"/>
                <w:sz w:val="20"/>
                <w:szCs w:val="20"/>
              </w:rPr>
              <w:t>E：16.02.06</w:t>
            </w:r>
          </w:p>
          <w:p>
            <w:pPr>
              <w:spacing w:line="280" w:lineRule="exact"/>
              <w:rPr>
                <w:rFonts w:ascii="宋体"/>
                <w:b/>
                <w:color w:val="000000"/>
                <w:sz w:val="20"/>
                <w:szCs w:val="20"/>
              </w:rPr>
            </w:pPr>
            <w:r>
              <w:rPr>
                <w:rFonts w:ascii="宋体"/>
                <w:b/>
                <w:color w:val="000000"/>
                <w:sz w:val="20"/>
                <w:szCs w:val="20"/>
              </w:rPr>
              <w:t>O：16.02.06</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97" w:firstLineChars="148"/>
        <w:rPr>
          <w:rFonts w:hint="eastAsia" w:ascii="宋体" w:eastAsia="宋体"/>
          <w:b/>
          <w:color w:val="000000"/>
          <w:sz w:val="20"/>
          <w:szCs w:val="20"/>
          <w:lang w:eastAsia="zh-CN"/>
        </w:rPr>
      </w:pPr>
      <w:r>
        <w:rPr>
          <w:rFonts w:hint="eastAsia" w:ascii="宋体" w:hAnsi="宋体"/>
          <w:b/>
          <w:color w:val="000000"/>
          <w:sz w:val="20"/>
          <w:szCs w:val="20"/>
          <w:lang w:val="de-DE"/>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jc w:val="both"/>
              <w:rPr>
                <w:rFonts w:ascii="宋体"/>
                <w:b/>
                <w:color w:val="000000"/>
                <w:sz w:val="20"/>
                <w:szCs w:val="20"/>
              </w:rPr>
            </w:pPr>
            <w:r>
              <w:rPr>
                <w:rFonts w:hint="eastAsia" w:ascii="宋体" w:hAnsi="宋体"/>
                <w:color w:val="000000"/>
                <w:sz w:val="20"/>
                <w:szCs w:val="20"/>
              </w:rPr>
              <w:t>水泥制品（生态水利环保砌块、园林景观挡墙砌块、劈裂装饰砌块、高强度承重建筑砌块、环保透水路面砖）的生产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综合部、生产部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生产部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2" w:name="生产地址"/>
            <w:r>
              <w:t>河北省唐山市玉田经济开发区后湖产业园</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河北省唐山市玉田经济开发区后湖产业园</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z w:val="20"/>
                <w:szCs w:val="20"/>
              </w:rPr>
              <w:sym w:font="Wingdings 2" w:char="00A3"/>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sym w:font="Wingdings 2" w:char="0052"/>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hint="eastAsia" w:ascii="宋体" w:eastAsia="宋体"/>
                <w:b/>
                <w:color w:val="000000"/>
                <w:sz w:val="24"/>
                <w:lang w:eastAsia="zh-CN"/>
              </w:rPr>
            </w:pPr>
            <w:r>
              <w:rPr>
                <w:rFonts w:hint="eastAsia" w:ascii="宋体"/>
                <w:b/>
                <w:color w:val="000000"/>
                <w:sz w:val="24"/>
                <w:lang w:eastAsia="zh-CN"/>
              </w:rPr>
              <w:t>企业东侧有加油站</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产品技术标准号：GB/T8239-2014《普通混凝土小型砌块》、JC/T945-2005《透水砖》、JC/T899-2016《混泥土路沿石》、JC/T641-2008《装饰混凝土砌块》□合同：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GB13271—2014、DB13/2167—2015、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numPr>
          <w:ilvl w:val="0"/>
          <w:numId w:val="1"/>
        </w:num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olor w:val="000000"/>
                <w:sz w:val="20"/>
                <w:szCs w:val="20"/>
              </w:rPr>
            </w:pPr>
            <w:r>
              <w:rPr>
                <w:rFonts w:hint="eastAsia" w:ascii="宋体"/>
                <w:color w:val="000000"/>
                <w:sz w:val="20"/>
                <w:szCs w:val="20"/>
              </w:rPr>
              <w:t>1)  水泥砖生产工艺:原料选择—配料—混料搅拌—料堆消解—压制成型—养护—成品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2)  高强度承重建筑砌块生产工艺：配料—搅拌—（骨架焊接）+浇注—养护—成品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配料、压制成型、养护、浇注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作业指导书、操作规程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z w:val="20"/>
                <w:szCs w:val="20"/>
              </w:rPr>
              <w:sym w:font="Wingdings 2" w:char="0052"/>
            </w:r>
            <w:r>
              <w:rPr>
                <w:rFonts w:hint="eastAsia" w:ascii="宋体" w:hAnsi="宋体"/>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主要设备：配料机、输送机、搅拌机、搅拌机、输送机、成型机、升板机、窑车、降板机、降板输送机、砖板分离、推板机、链板机、劈裂机、码垛机、木托喂入、托板转运、切割机等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r>
              <w:rPr>
                <w:rFonts w:hint="eastAsia" w:ascii="宋体" w:hAnsi="宋体"/>
                <w:color w:val="000000"/>
                <w:spacing w:val="-10"/>
                <w:sz w:val="20"/>
                <w:szCs w:val="20"/>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bCs/>
                <w:color w:val="000000"/>
                <w:sz w:val="20"/>
                <w:szCs w:val="20"/>
              </w:rPr>
            </w:pPr>
            <w:r>
              <w:rPr>
                <w:rFonts w:hint="eastAsia" w:ascii="宋体"/>
                <w:color w:val="000000"/>
                <w:sz w:val="20"/>
                <w:szCs w:val="20"/>
              </w:rPr>
              <w:t>监视和测量设备（请简述主要监视和测量设备）：电子吊秤、游标卡尺、地磅、电子秤、称重传感器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olor w:val="000000"/>
                <w:sz w:val="20"/>
                <w:szCs w:val="20"/>
              </w:rPr>
            </w:pPr>
            <w:r>
              <w:rPr>
                <w:rFonts w:hint="eastAsia" w:ascii="宋体"/>
                <w:color w:val="000000"/>
                <w:sz w:val="20"/>
                <w:szCs w:val="20"/>
              </w:rPr>
              <w:t>办公区域面积850平米；布局合理，场所卫生干净整洁，工作环境良好。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车间面积约13600平米（含原材料存放区），成品露天存放。制砖设备流水线生产</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szCs w:val="21"/>
              </w:rPr>
              <w:t>潜在火灾</w:t>
            </w:r>
            <w:r>
              <w:rPr>
                <w:rFonts w:hint="eastAsia" w:ascii="宋体"/>
                <w:color w:val="000000"/>
                <w:sz w:val="20"/>
                <w:szCs w:val="20"/>
                <w:lang w:eastAsia="zh-CN"/>
              </w:rPr>
              <w:t>、固体废弃物、噪声</w:t>
            </w:r>
            <w:r>
              <w:rPr>
                <w:rFonts w:hint="eastAsia" w:ascii="宋体"/>
                <w:color w:val="000000"/>
                <w:sz w:val="20"/>
                <w:szCs w:val="20"/>
                <w:lang w:val="en-US" w:eastAsia="zh-CN"/>
              </w:rPr>
              <w:t>排放、废气排放、粉尘排放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应急准备和响应计划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不可接受风险有：</w:t>
            </w:r>
            <w:r>
              <w:rPr>
                <w:rFonts w:hint="eastAsia"/>
                <w:szCs w:val="21"/>
              </w:rPr>
              <w:t>潜在火灾、触电、</w:t>
            </w:r>
            <w:r>
              <w:rPr>
                <w:rFonts w:hint="eastAsia"/>
                <w:szCs w:val="21"/>
                <w:lang w:val="en-US" w:eastAsia="zh-CN"/>
              </w:rPr>
              <w:t>粉尘</w:t>
            </w:r>
            <w:r>
              <w:rPr>
                <w:rFonts w:hint="eastAsia"/>
                <w:szCs w:val="21"/>
              </w:rPr>
              <w:t>伤害、机械伤害、噪声伤害、意外伤害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p>
        </w:tc>
      </w:tr>
    </w:tbl>
    <w:p>
      <w:pPr>
        <w:numPr>
          <w:ilvl w:val="0"/>
          <w:numId w:val="0"/>
        </w:num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sym w:font="Wingdings 2" w:char="00A3"/>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eastAsia="宋体" w:cs="Times New Roman"/>
          <w:b/>
          <w:color w:val="000000"/>
          <w:spacing w:val="-2"/>
          <w:kern w:val="2"/>
          <w:sz w:val="26"/>
          <w:szCs w:val="26"/>
          <w:lang w:val="en-US" w:eastAsia="zh-CN" w:bidi="ar-SA"/>
        </w:rPr>
        <w:t>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ind w:firstLine="420" w:firstLineChars="200"/>
        <w:rPr>
          <w:rFonts w:hint="eastAsia"/>
          <w:color w:val="000000"/>
          <w:szCs w:val="21"/>
        </w:rPr>
      </w:pPr>
      <w:r>
        <w:rPr>
          <w:rFonts w:hint="eastAsia" w:ascii="宋体" w:hAnsi="宋体"/>
          <w:szCs w:val="21"/>
        </w:rPr>
        <w:t>Q：水泥制品（生态水利环保砌块、园林景观挡墙砌块、劈裂装饰砌块、高强度承重建筑砌块、环保透水路面砖）的生产</w:t>
      </w:r>
    </w:p>
    <w:p>
      <w:pPr>
        <w:ind w:firstLine="420" w:firstLineChars="200"/>
        <w:rPr>
          <w:rFonts w:hint="eastAsia" w:ascii="宋体" w:hAnsi="宋体"/>
          <w:szCs w:val="21"/>
        </w:rPr>
      </w:pPr>
      <w:r>
        <w:rPr>
          <w:rFonts w:hint="eastAsia" w:ascii="宋体" w:hAnsi="宋体"/>
          <w:szCs w:val="21"/>
        </w:rPr>
        <w:t>E：水泥制品（生态水利环保砌块、园林景观挡墙砌块、劈裂装饰砌块、高强度承重建筑砌块、环保透水路面砖）的生产所涉及场所相关的环境管理活动</w:t>
      </w:r>
    </w:p>
    <w:p>
      <w:pPr>
        <w:spacing w:line="300" w:lineRule="auto"/>
        <w:ind w:firstLine="420" w:firstLineChars="200"/>
        <w:rPr>
          <w:rFonts w:hint="eastAsia" w:ascii="宋体" w:hAnsi="宋体"/>
          <w:b/>
          <w:color w:val="000000"/>
          <w:sz w:val="20"/>
          <w:szCs w:val="20"/>
        </w:rPr>
      </w:pPr>
      <w:r>
        <w:rPr>
          <w:rFonts w:hint="eastAsia" w:ascii="宋体" w:hAnsi="宋体"/>
          <w:szCs w:val="21"/>
        </w:rPr>
        <w:t>O：水泥制品（生态水利环保砌块、园林景观挡墙砌块、劈裂装饰砌块、高强度承重建筑砌块、环保透水路面砖）的生产所涉及场所相关的职业健康安全管理活动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60288" behindDoc="0" locked="0" layoutInCell="1" allowOverlap="1">
            <wp:simplePos x="0" y="0"/>
            <wp:positionH relativeFrom="column">
              <wp:posOffset>1896110</wp:posOffset>
            </wp:positionH>
            <wp:positionV relativeFrom="paragraph">
              <wp:posOffset>326390</wp:posOffset>
            </wp:positionV>
            <wp:extent cx="774065" cy="410845"/>
            <wp:effectExtent l="0" t="0" r="6985" b="8255"/>
            <wp:wrapNone/>
            <wp:docPr id="4" name="图片 4" descr="47501c1620fc144290a8a7fb1ab4d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7501c1620fc144290a8a7fb1ab4d68"/>
                    <pic:cNvPicPr>
                      <a:picLocks noChangeAspect="1"/>
                    </pic:cNvPicPr>
                  </pic:nvPicPr>
                  <pic:blipFill>
                    <a:blip r:embed="rId6"/>
                    <a:stretch>
                      <a:fillRect/>
                    </a:stretch>
                  </pic:blipFill>
                  <pic:spPr>
                    <a:xfrm>
                      <a:off x="0" y="0"/>
                      <a:ext cx="774065" cy="41084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bookmarkStart w:id="23" w:name="_GoBack"/>
      <w:r>
        <w:rPr>
          <w:rFonts w:hint="eastAsia" w:ascii="宋体" w:eastAsia="宋体"/>
          <w:b/>
          <w:color w:val="000000"/>
          <w:lang w:eastAsia="zh-CN"/>
        </w:rPr>
        <w:drawing>
          <wp:anchor distT="0" distB="0" distL="114300" distR="114300" simplePos="0" relativeHeight="251659264" behindDoc="0" locked="0" layoutInCell="1" allowOverlap="1">
            <wp:simplePos x="0" y="0"/>
            <wp:positionH relativeFrom="column">
              <wp:posOffset>2654300</wp:posOffset>
            </wp:positionH>
            <wp:positionV relativeFrom="paragraph">
              <wp:posOffset>208915</wp:posOffset>
            </wp:positionV>
            <wp:extent cx="1007110" cy="440055"/>
            <wp:effectExtent l="0" t="0" r="2540" b="17145"/>
            <wp:wrapNone/>
            <wp:docPr id="3"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2f67c90857df5b6493e827f97d2b6"/>
                    <pic:cNvPicPr>
                      <a:picLocks noChangeAspect="1"/>
                    </pic:cNvPicPr>
                  </pic:nvPicPr>
                  <pic:blipFill>
                    <a:blip r:embed="rId7"/>
                    <a:stretch>
                      <a:fillRect/>
                    </a:stretch>
                  </pic:blipFill>
                  <pic:spPr>
                    <a:xfrm>
                      <a:off x="0" y="0"/>
                      <a:ext cx="1007110" cy="440055"/>
                    </a:xfrm>
                    <a:prstGeom prst="rect">
                      <a:avLst/>
                    </a:prstGeom>
                  </pic:spPr>
                </pic:pic>
              </a:graphicData>
            </a:graphic>
          </wp:anchor>
        </w:drawing>
      </w:r>
      <w:bookmarkEnd w:id="23"/>
      <w:r>
        <w:rPr>
          <w:rFonts w:hint="eastAsia" w:ascii="宋体" w:eastAsia="宋体"/>
          <w:b/>
          <w:bCs/>
          <w:color w:val="000000"/>
          <w:sz w:val="26"/>
          <w:szCs w:val="26"/>
          <w:lang w:eastAsia="zh-CN"/>
        </w:rPr>
        <w:drawing>
          <wp:anchor distT="0" distB="0" distL="114300" distR="114300" simplePos="0" relativeHeight="251658240" behindDoc="0" locked="0" layoutInCell="1" allowOverlap="1">
            <wp:simplePos x="0" y="0"/>
            <wp:positionH relativeFrom="column">
              <wp:posOffset>1776730</wp:posOffset>
            </wp:positionH>
            <wp:positionV relativeFrom="paragraph">
              <wp:posOffset>191770</wp:posOffset>
            </wp:positionV>
            <wp:extent cx="892175" cy="429895"/>
            <wp:effectExtent l="0" t="0" r="3175" b="6985"/>
            <wp:wrapNone/>
            <wp:docPr id="1" name="图片 1" descr="c279cebdbccec1c61204f62462100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279cebdbccec1c61204f624621003e"/>
                    <pic:cNvPicPr>
                      <a:picLocks noChangeAspect="1"/>
                    </pic:cNvPicPr>
                  </pic:nvPicPr>
                  <pic:blipFill>
                    <a:blip r:embed="rId8"/>
                    <a:stretch>
                      <a:fillRect/>
                    </a:stretch>
                  </pic:blipFill>
                  <pic:spPr>
                    <a:xfrm>
                      <a:off x="0" y="0"/>
                      <a:ext cx="892175" cy="429895"/>
                    </a:xfrm>
                    <a:prstGeom prst="rect">
                      <a:avLst/>
                    </a:prstGeom>
                  </pic:spPr>
                </pic:pic>
              </a:graphicData>
            </a:graphic>
          </wp:anchor>
        </w:drawing>
      </w:r>
    </w:p>
    <w:p>
      <w:pPr>
        <w:spacing w:line="400" w:lineRule="exact"/>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2020年12月10日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sz w:val="24"/>
              </w:rPr>
              <w:pict>
                <v:line id="_x0000_s1026" o:spid="_x0000_s1026" o:spt="20" style="position:absolute;left:0pt;flip:y;margin-left:-29.85pt;margin-top:-160.9pt;height:259.55pt;width:448.2pt;z-index:251663360;mso-width-relative:page;mso-height-relative:page;" filled="f" stroked="t" coordsize="21600,21600">
                  <v:path arrowok="t"/>
                  <v:fill on="f" focussize="0,0"/>
                  <v:stroke color="#000000"/>
                  <v:imagedata o:title=""/>
                  <o:lock v:ext="edit" aspectratio="f"/>
                </v:line>
              </w:pic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94FAE"/>
    <w:multiLevelType w:val="singleLevel"/>
    <w:tmpl w:val="46194FA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A1605A"/>
    <w:rsid w:val="02A13C0E"/>
    <w:rsid w:val="12BA6C13"/>
    <w:rsid w:val="1B9F1B64"/>
    <w:rsid w:val="1D2D65D7"/>
    <w:rsid w:val="3CC9096D"/>
    <w:rsid w:val="55034CD8"/>
    <w:rsid w:val="60A34584"/>
    <w:rsid w:val="66026B21"/>
    <w:rsid w:val="68C522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7</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2020-12-15T01:15:21Z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