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0223-2020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成都豪能科技股份有限公司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查看外部供方管理文件，对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强检设备的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</w:t>
            </w:r>
            <w:r>
              <w:rPr>
                <w:rFonts w:hint="eastAsia"/>
                <w:lang w:val="en-US" w:eastAsia="zh-CN"/>
              </w:rPr>
              <w:t>成都市计量检定测试院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，未进行识别，评价。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6.4外部供方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2020-11-29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jc w:val="righ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0223-2020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名称：成都豪能科技股份有限公司       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制造部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hd w:val="clear"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查制造部氨气房配备的1台可燃气体报警仪（无号）未受控。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/>
                <w:color w:val="000000" w:themeColor="text1"/>
                <w:szCs w:val="21"/>
                <w:highlight w:val="none"/>
                <w:u w:val="single"/>
                <w:lang w:val="en-US" w:eastAsia="zh-CN"/>
              </w:rPr>
              <w:t>不符合</w:t>
            </w:r>
            <w:r>
              <w:rPr>
                <w:rFonts w:hint="eastAsia"/>
                <w:bCs/>
                <w:color w:val="000000" w:themeColor="text1"/>
                <w:szCs w:val="21"/>
                <w:u w:val="single"/>
                <w:lang w:val="en-US" w:eastAsia="zh-CN"/>
              </w:rPr>
              <w:t>《计量法》第二章第九条强制检定的要求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2020-11-29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BE6860"/>
    <w:rsid w:val="70076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2020-11-29T02:44:53Z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