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七星瓢虫环境科技(苏州)有限公司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0203-2019-2020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0203-2019-2020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5"/>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210"/>
        <w:gridCol w:w="190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21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4" w:name="组织名称Add1"/>
            <w:r>
              <w:rPr>
                <w:rFonts w:cs="宋体" w:asciiTheme="minorEastAsia" w:hAnsiTheme="minorEastAsia"/>
                <w:kern w:val="0"/>
                <w:szCs w:val="21"/>
              </w:rPr>
              <w:t>七星瓢虫环境科技(苏州)有限公司</w:t>
            </w:r>
            <w:bookmarkEnd w:id="4"/>
          </w:p>
        </w:tc>
        <w:tc>
          <w:tcPr>
            <w:tcW w:w="190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2552"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5" w:name="联系人"/>
            <w:r>
              <w:rPr>
                <w:rFonts w:cs="宋体" w:asciiTheme="minorEastAsia" w:hAnsiTheme="minorEastAsia"/>
                <w:kern w:val="0"/>
                <w:szCs w:val="21"/>
              </w:rPr>
              <w:t>王雨池</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2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ISC-2019-0569</w:t>
            </w:r>
            <w:bookmarkEnd w:id="6"/>
          </w:p>
        </w:tc>
        <w:tc>
          <w:tcPr>
            <w:tcW w:w="19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552"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7" w:name="证书有效期"/>
            <w:r>
              <w:rPr>
                <w:rFonts w:cs="宋体" w:asciiTheme="minorEastAsia" w:hAnsiTheme="minorEastAsia"/>
                <w:kern w:val="0"/>
                <w:szCs w:val="21"/>
              </w:rPr>
              <w:t>2024</w:t>
            </w:r>
            <w:r>
              <w:rPr>
                <w:rFonts w:hint="eastAsia" w:cs="宋体" w:asciiTheme="minorEastAsia" w:hAnsiTheme="minorEastAsia"/>
                <w:kern w:val="0"/>
                <w:szCs w:val="21"/>
                <w:lang w:val="en-US" w:eastAsia="zh-CN"/>
              </w:rPr>
              <w:t>年</w:t>
            </w:r>
            <w:r>
              <w:rPr>
                <w:rFonts w:cs="宋体" w:asciiTheme="minorEastAsia" w:hAnsiTheme="minorEastAsia"/>
                <w:kern w:val="0"/>
                <w:szCs w:val="21"/>
              </w:rPr>
              <w:t>12</w:t>
            </w:r>
            <w:r>
              <w:rPr>
                <w:rFonts w:hint="eastAsia" w:cs="宋体" w:asciiTheme="minorEastAsia" w:hAnsiTheme="minorEastAsia"/>
                <w:kern w:val="0"/>
                <w:szCs w:val="21"/>
                <w:lang w:val="en-US" w:eastAsia="zh-CN"/>
              </w:rPr>
              <w:t>月</w:t>
            </w:r>
            <w:r>
              <w:rPr>
                <w:rFonts w:cs="宋体" w:asciiTheme="minorEastAsia" w:hAnsiTheme="minorEastAsia"/>
                <w:kern w:val="0"/>
                <w:szCs w:val="21"/>
              </w:rPr>
              <w:t>03</w:t>
            </w:r>
            <w:bookmarkEnd w:id="7"/>
            <w:r>
              <w:rPr>
                <w:rFonts w:hint="eastAsia" w:cs="宋体" w:asciiTheme="minorEastAsia" w:hAnsiTheme="minorEastAsia"/>
                <w:kern w:val="0"/>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21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一</w:t>
            </w:r>
            <w:r>
              <w:rPr>
                <w:rFonts w:hint="eastAsia" w:ascii="宋体" w:hAnsi="宋体" w:cs="宋体"/>
                <w:kern w:val="0"/>
                <w:szCs w:val="21"/>
              </w:rPr>
              <w:t>次监督审核</w:t>
            </w:r>
          </w:p>
        </w:tc>
        <w:tc>
          <w:tcPr>
            <w:tcW w:w="190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bCs/>
                <w:kern w:val="0"/>
                <w:szCs w:val="21"/>
              </w:rPr>
            </w:pPr>
            <w:r>
              <w:rPr>
                <w:rFonts w:hint="eastAsia" w:cs="宋体" w:asciiTheme="minorEastAsia" w:hAnsiTheme="minorEastAsia"/>
                <w:bCs/>
                <w:kern w:val="0"/>
                <w:szCs w:val="21"/>
              </w:rPr>
              <w:t>本次监督</w:t>
            </w:r>
            <w:r>
              <w:rPr>
                <w:rFonts w:cs="宋体" w:asciiTheme="minorEastAsia" w:hAnsiTheme="minorEastAsia"/>
                <w:bCs/>
                <w:kern w:val="0"/>
                <w:szCs w:val="21"/>
              </w:rPr>
              <w:t>时间</w:t>
            </w:r>
          </w:p>
        </w:tc>
        <w:tc>
          <w:tcPr>
            <w:tcW w:w="2552"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bCs/>
                <w:kern w:val="0"/>
                <w:szCs w:val="21"/>
                <w:lang w:val="en-US" w:eastAsia="zh-CN"/>
              </w:rPr>
            </w:pPr>
            <w:bookmarkStart w:id="8" w:name="审核开始日"/>
            <w:r>
              <w:rPr>
                <w:rFonts w:cs="宋体" w:asciiTheme="minorEastAsia" w:hAnsiTheme="minorEastAsia"/>
                <w:bCs/>
                <w:kern w:val="0"/>
                <w:szCs w:val="21"/>
              </w:rPr>
              <w:t>2020年11月25日 下午</w:t>
            </w:r>
            <w:bookmarkEnd w:id="8"/>
            <w:r>
              <w:rPr>
                <w:rFonts w:hint="eastAsia" w:cs="宋体" w:asciiTheme="minorEastAsia" w:hAnsiTheme="minorEastAsia"/>
                <w:bCs/>
                <w:kern w:val="0"/>
                <w:szCs w:val="21"/>
                <w:lang w:val="en-US" w:eastAsia="zh-CN"/>
              </w:rPr>
              <w:t>-</w:t>
            </w:r>
            <w:r>
              <w:rPr>
                <w:rFonts w:cs="宋体" w:asciiTheme="minorEastAsia" w:hAnsiTheme="minorEastAsia"/>
                <w:bCs/>
                <w:kern w:val="0"/>
                <w:szCs w:val="21"/>
              </w:rPr>
              <w:t>2020年11月2</w:t>
            </w:r>
            <w:r>
              <w:rPr>
                <w:rFonts w:hint="eastAsia" w:cs="宋体" w:asciiTheme="minorEastAsia" w:hAnsiTheme="minorEastAsia"/>
                <w:bCs/>
                <w:kern w:val="0"/>
                <w:szCs w:val="21"/>
                <w:lang w:val="en-US" w:eastAsia="zh-CN"/>
              </w:rPr>
              <w:t>6</w:t>
            </w:r>
            <w:r>
              <w:rPr>
                <w:rFonts w:cs="宋体" w:asciiTheme="minorEastAsia" w:hAnsiTheme="minorEastAsia"/>
                <w:bCs/>
                <w:kern w:val="0"/>
                <w:szCs w:val="21"/>
              </w:rPr>
              <w:t xml:space="preserve">日 </w:t>
            </w:r>
            <w:r>
              <w:rPr>
                <w:rFonts w:hint="eastAsia" w:cs="宋体" w:asciiTheme="minorEastAsia" w:hAnsiTheme="minorEastAsia"/>
                <w:bCs/>
                <w:kern w:val="0"/>
                <w:szCs w:val="21"/>
                <w:lang w:val="en-US"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center"/>
          </w:tcPr>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210"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r>
              <w:rPr>
                <w:rFonts w:hint="eastAsia"/>
                <w:color w:val="000000"/>
                <w:szCs w:val="21"/>
                <w:lang w:eastAsia="zh-CN"/>
              </w:rPr>
              <w:t>李俐</w:t>
            </w:r>
            <w:r>
              <w:rPr>
                <w:rFonts w:hint="eastAsia"/>
                <w:color w:val="000000"/>
                <w:szCs w:val="21"/>
                <w:lang w:val="en-US" w:eastAsia="zh-CN"/>
              </w:rPr>
              <w:t xml:space="preserve"> </w:t>
            </w:r>
            <w:r>
              <w:rPr>
                <w:rFonts w:ascii="宋体" w:hAnsi="宋体"/>
                <w:szCs w:val="21"/>
              </w:rPr>
              <w:t>ISC[S]00</w:t>
            </w:r>
            <w:r>
              <w:rPr>
                <w:rFonts w:hint="eastAsia" w:ascii="宋体" w:hAnsi="宋体"/>
                <w:szCs w:val="21"/>
                <w:lang w:val="en-US" w:eastAsia="zh-CN"/>
              </w:rPr>
              <w:t>08</w:t>
            </w:r>
          </w:p>
        </w:tc>
        <w:tc>
          <w:tcPr>
            <w:tcW w:w="190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bCs/>
                <w:kern w:val="0"/>
                <w:szCs w:val="21"/>
              </w:rPr>
            </w:pPr>
            <w:r>
              <w:rPr>
                <w:rFonts w:cs="宋体" w:asciiTheme="minorEastAsia" w:hAnsiTheme="minorEastAsia"/>
                <w:bCs/>
                <w:kern w:val="0"/>
                <w:szCs w:val="21"/>
              </w:rPr>
              <w:t>监督审核涉及的区域或部门</w:t>
            </w:r>
          </w:p>
        </w:tc>
        <w:tc>
          <w:tcPr>
            <w:tcW w:w="2552"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bCs/>
                <w:kern w:val="0"/>
                <w:szCs w:val="21"/>
              </w:rPr>
            </w:pPr>
            <w:r>
              <w:rPr>
                <w:rFonts w:hint="eastAsia" w:cs="宋体" w:asciiTheme="minorEastAsia" w:hAnsiTheme="minorEastAsia"/>
                <w:bCs/>
                <w:kern w:val="0"/>
                <w:szCs w:val="21"/>
              </w:rPr>
              <w:t>管理部、品质部、</w:t>
            </w:r>
          </w:p>
          <w:p>
            <w:pPr>
              <w:tabs>
                <w:tab w:val="left" w:pos="880"/>
              </w:tabs>
              <w:autoSpaceDE w:val="0"/>
              <w:autoSpaceDN w:val="0"/>
              <w:adjustRightInd w:val="0"/>
              <w:spacing w:before="35" w:line="276" w:lineRule="auto"/>
              <w:ind w:right="161"/>
              <w:jc w:val="center"/>
              <w:rPr>
                <w:rFonts w:cs="宋体" w:asciiTheme="minorEastAsia" w:hAnsiTheme="minorEastAsia"/>
                <w:bCs/>
                <w:kern w:val="0"/>
                <w:szCs w:val="21"/>
              </w:rPr>
            </w:pPr>
            <w:r>
              <w:rPr>
                <w:rFonts w:hint="eastAsia" w:cs="宋体" w:asciiTheme="minorEastAsia" w:hAnsiTheme="minorEastAsia"/>
                <w:bCs/>
                <w:kern w:val="0"/>
                <w:szCs w:val="21"/>
              </w:rPr>
              <w:t>销售部、生技部</w:t>
            </w:r>
          </w:p>
        </w:tc>
      </w:tr>
    </w:tbl>
    <w:p>
      <w:pPr>
        <w:widowControl/>
        <w:spacing w:line="360" w:lineRule="auto"/>
        <w:rPr>
          <w:rFonts w:hint="eastAsia" w:cs="宋体" w:asciiTheme="minorEastAsia" w:hAnsiTheme="minorEastAsia"/>
          <w:b/>
          <w:bCs/>
          <w:kern w:val="0"/>
          <w:szCs w:val="21"/>
        </w:rPr>
      </w:pPr>
    </w:p>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pPr>
      <w:r>
        <w:rPr>
          <w:rFonts w:ascii="宋体" w:hAnsi="宋体" w:cs="宋体"/>
          <w:bCs/>
          <w:kern w:val="0"/>
          <w:szCs w:val="21"/>
        </w:rPr>
        <w:t>一年内</w:t>
      </w:r>
      <w:r>
        <w:rPr>
          <w:rFonts w:hint="eastAsia" w:ascii="宋体" w:hAnsi="宋体" w:cs="宋体"/>
          <w:bCs/>
          <w:kern w:val="0"/>
          <w:szCs w:val="21"/>
        </w:rPr>
        <w:t>，</w:t>
      </w:r>
      <w:r>
        <w:rPr>
          <w:rFonts w:hint="eastAsia" w:ascii="宋体" w:hAnsi="宋体"/>
          <w:szCs w:val="21"/>
        </w:rPr>
        <w:t>公司</w:t>
      </w:r>
      <w:r>
        <w:rPr>
          <w:rFonts w:hint="eastAsia"/>
          <w:bCs/>
          <w:szCs w:val="21"/>
        </w:rPr>
        <w:t>日常运行中生产、经营、安全、销售及行政管理方面，未出现</w:t>
      </w:r>
      <w:r>
        <w:rPr>
          <w:rFonts w:ascii="宋体" w:hAnsi="宋体" w:cs="宋体"/>
          <w:bCs/>
          <w:kern w:val="0"/>
          <w:szCs w:val="21"/>
        </w:rPr>
        <w:t>违反法律</w:t>
      </w:r>
      <w:r>
        <w:rPr>
          <w:rFonts w:hint="eastAsia" w:ascii="宋体" w:hAnsi="宋体" w:cs="宋体"/>
          <w:bCs/>
          <w:kern w:val="0"/>
          <w:szCs w:val="21"/>
        </w:rPr>
        <w:t>、</w:t>
      </w:r>
      <w:r>
        <w:rPr>
          <w:rFonts w:ascii="宋体" w:hAnsi="宋体" w:cs="宋体"/>
          <w:bCs/>
          <w:kern w:val="0"/>
          <w:szCs w:val="21"/>
        </w:rPr>
        <w:t>法规</w:t>
      </w:r>
      <w:r>
        <w:rPr>
          <w:rFonts w:hint="eastAsia" w:ascii="宋体" w:hAnsi="宋体" w:cs="宋体"/>
          <w:bCs/>
          <w:kern w:val="0"/>
          <w:szCs w:val="21"/>
        </w:rPr>
        <w:t>问题或</w:t>
      </w:r>
      <w:r>
        <w:rPr>
          <w:rFonts w:ascii="宋体" w:hAnsi="宋体" w:cs="宋体"/>
          <w:bCs/>
          <w:kern w:val="0"/>
          <w:szCs w:val="21"/>
        </w:rPr>
        <w:t>重大事故</w:t>
      </w:r>
      <w:r>
        <w:rPr>
          <w:rFonts w:hint="eastAsia" w:ascii="宋体" w:hAnsi="宋体" w:cs="宋体"/>
          <w:bCs/>
          <w:kern w:val="0"/>
          <w:szCs w:val="21"/>
        </w:rPr>
        <w:t>发生</w:t>
      </w:r>
      <w:r>
        <w:rPr>
          <w:rFonts w:hint="eastAsia" w:ascii="宋体" w:hAnsi="宋体" w:cs="宋体"/>
          <w:bCs/>
          <w:kern w:val="0"/>
          <w:szCs w:val="21"/>
          <w:lang w:val="en-US" w:eastAsia="zh-CN"/>
        </w:rPr>
        <w:t>,</w:t>
      </w:r>
      <w:r>
        <w:rPr>
          <w:rFonts w:hint="eastAsia" w:ascii="宋体" w:hAnsi="宋体" w:cs="宋体"/>
          <w:bCs/>
          <w:kern w:val="0"/>
          <w:szCs w:val="21"/>
        </w:rPr>
        <w:t>满足要求</w:t>
      </w:r>
      <w:r>
        <w:rPr>
          <w:rFonts w:hint="eastAsia" w:ascii="宋体" w:hAnsi="宋体" w:cs="宋体"/>
          <w:bCs/>
          <w:kern w:val="0"/>
          <w:szCs w:val="21"/>
          <w:lang w:eastAsia="zh-CN"/>
        </w:rPr>
        <w:t>。</w:t>
      </w:r>
    </w:p>
    <w:p>
      <w:pPr>
        <w:widowControl/>
        <w:numPr>
          <w:ilvl w:val="0"/>
          <w:numId w:val="1"/>
        </w:numPr>
        <w:spacing w:line="360"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360" w:lineRule="auto"/>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w:t>
      </w:r>
      <w:r>
        <w:rPr>
          <w:rFonts w:hint="eastAsia" w:ascii="宋体" w:hAnsi="宋体" w:cs="宋体"/>
          <w:bCs/>
          <w:kern w:val="0"/>
          <w:szCs w:val="21"/>
          <w:lang w:val="en-US" w:eastAsia="zh-CN"/>
        </w:rPr>
        <w:t>一</w:t>
      </w:r>
      <w:r>
        <w:rPr>
          <w:rFonts w:hint="eastAsia" w:ascii="宋体" w:hAnsi="宋体" w:cs="宋体"/>
          <w:bCs/>
          <w:kern w:val="0"/>
          <w:szCs w:val="21"/>
        </w:rPr>
        <w:t>年以来运行情况，20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25</w:t>
      </w:r>
      <w:r>
        <w:rPr>
          <w:rFonts w:hint="eastAsia" w:ascii="宋体" w:hAnsi="宋体" w:cs="宋体"/>
          <w:bCs/>
          <w:kern w:val="0"/>
          <w:szCs w:val="21"/>
        </w:rPr>
        <w:t>日</w:t>
      </w:r>
      <w:r>
        <w:rPr>
          <w:rFonts w:hint="eastAsia" w:ascii="宋体" w:hAnsi="宋体" w:cs="宋体"/>
          <w:bCs/>
          <w:kern w:val="0"/>
          <w:szCs w:val="21"/>
          <w:lang w:val="en-US" w:eastAsia="zh-CN"/>
        </w:rPr>
        <w:t>下午-26日上午</w:t>
      </w:r>
      <w:r>
        <w:rPr>
          <w:rFonts w:hint="eastAsia" w:ascii="宋体" w:hAnsi="宋体" w:cs="宋体"/>
          <w:bCs/>
          <w:kern w:val="0"/>
          <w:szCs w:val="21"/>
        </w:rPr>
        <w:t>，</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现场审核中，审核组先、后抽样检查了涉及公司测量体系内的管理、生产、经营、质量和环境等方面的</w:t>
      </w:r>
      <w:r>
        <w:rPr>
          <w:rFonts w:hint="eastAsia" w:ascii="宋体" w:hAnsi="宋体" w:cs="宋体"/>
          <w:bCs/>
          <w:kern w:val="0"/>
          <w:szCs w:val="21"/>
          <w:lang w:val="en-US" w:eastAsia="zh-CN"/>
        </w:rPr>
        <w:t>4</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w:t>
      </w:r>
      <w:r>
        <w:rPr>
          <w:rFonts w:hint="eastAsia" w:ascii="宋体" w:hAnsi="宋体"/>
          <w:szCs w:val="21"/>
          <w:lang w:val="en-US" w:eastAsia="zh-CN"/>
        </w:rPr>
        <w:t>控制</w:t>
      </w:r>
      <w:r>
        <w:rPr>
          <w:rFonts w:hint="eastAsia" w:ascii="宋体" w:hAnsi="宋体"/>
          <w:szCs w:val="21"/>
          <w:lang w:eastAsia="zh-CN"/>
        </w:rPr>
        <w:t>检测等测量过程，掌握了企业测量管理体系的运行状况和品质。</w:t>
      </w:r>
    </w:p>
    <w:p>
      <w:pPr>
        <w:widowControl/>
        <w:spacing w:line="360" w:lineRule="auto"/>
        <w:ind w:firstLine="420" w:firstLineChars="200"/>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numPr>
          <w:ilvl w:val="0"/>
          <w:numId w:val="1"/>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在审核在审核过程中了解到，该公司于</w:t>
      </w:r>
      <w:r>
        <w:rPr>
          <w:rFonts w:hint="eastAsia" w:ascii="宋体" w:hAnsi="宋体"/>
          <w:b w:val="0"/>
          <w:bCs w:val="0"/>
          <w:color w:val="000000" w:themeColor="text1"/>
          <w:szCs w:val="21"/>
        </w:rPr>
        <w:t>2020年10月13日</w:t>
      </w:r>
      <w:r>
        <w:rPr>
          <w:rFonts w:hint="eastAsia" w:ascii="宋体" w:hAnsi="宋体"/>
          <w:color w:val="000000" w:themeColor="text1"/>
          <w:szCs w:val="21"/>
        </w:rPr>
        <w:t xml:space="preserve"> 组织了内部审核，对内审中提出的</w:t>
      </w:r>
      <w:r>
        <w:rPr>
          <w:rFonts w:hint="eastAsia" w:ascii="宋体" w:hAnsi="宋体"/>
          <w:color w:val="000000" w:themeColor="text1"/>
          <w:szCs w:val="21"/>
          <w:lang w:val="en-US" w:eastAsia="zh-CN"/>
        </w:rPr>
        <w:t>1</w:t>
      </w:r>
      <w:r>
        <w:rPr>
          <w:rFonts w:hint="eastAsia" w:ascii="宋体" w:hAnsi="宋体"/>
          <w:color w:val="000000" w:themeColor="text1"/>
          <w:szCs w:val="21"/>
        </w:rPr>
        <w:t>项不符合制定了纠正措施，并</w:t>
      </w:r>
      <w:r>
        <w:rPr>
          <w:rFonts w:hint="eastAsia" w:ascii="宋体" w:hAnsi="宋体"/>
          <w:color w:val="000000" w:themeColor="text1"/>
          <w:szCs w:val="21"/>
          <w:lang w:eastAsia="zh-CN"/>
        </w:rPr>
        <w:t>已于2020年10月15日</w:t>
      </w:r>
      <w:r>
        <w:rPr>
          <w:rFonts w:hint="eastAsia" w:ascii="宋体" w:hAnsi="宋体"/>
          <w:color w:val="000000" w:themeColor="text1"/>
          <w:szCs w:val="21"/>
        </w:rPr>
        <w:t>进行了整改。2020年10月28日进行了管理评审，对测量管理体系进行了有效评价，确保了测量管理体系的运行质量。</w:t>
      </w:r>
    </w:p>
    <w:p>
      <w:pPr>
        <w:widowControl/>
        <w:spacing w:line="360" w:lineRule="auto"/>
        <w:rPr>
          <w:rFonts w:hint="eastAsia" w:ascii="宋体" w:hAnsi="宋体"/>
          <w:color w:val="000000" w:themeColor="text1"/>
          <w:szCs w:val="21"/>
        </w:rPr>
      </w:pPr>
      <w:r>
        <w:rPr>
          <w:rFonts w:hint="eastAsia" w:ascii="宋体" w:hAnsi="宋体"/>
          <w:color w:val="000000" w:themeColor="text1"/>
          <w:szCs w:val="21"/>
        </w:rPr>
        <w:t>4.为持续改进而策划的活动的进展，包括：</w:t>
      </w:r>
    </w:p>
    <w:p>
      <w:pPr>
        <w:widowControl/>
        <w:spacing w:line="360" w:lineRule="auto"/>
        <w:rPr>
          <w:rFonts w:hint="eastAsia" w:ascii="宋体" w:hAnsi="宋体" w:cs="宋体"/>
          <w:kern w:val="0"/>
          <w:szCs w:val="21"/>
        </w:rPr>
      </w:pPr>
      <w:r>
        <w:rPr>
          <w:rFonts w:hint="eastAsia" w:ascii="宋体" w:hAnsi="宋体" w:cs="宋体"/>
          <w:kern w:val="0"/>
          <w:szCs w:val="21"/>
        </w:rPr>
        <w:t>4.1</w:t>
      </w:r>
      <w:r>
        <w:rPr>
          <w:rFonts w:ascii="宋体" w:hAnsi="宋体" w:cs="宋体"/>
          <w:kern w:val="0"/>
          <w:szCs w:val="21"/>
        </w:rPr>
        <w:t xml:space="preserve"> </w:t>
      </w:r>
      <w:r>
        <w:rPr>
          <w:rFonts w:hint="eastAsia" w:ascii="宋体" w:hAnsi="宋体" w:cs="宋体"/>
          <w:kern w:val="0"/>
          <w:szCs w:val="21"/>
          <w:lang w:eastAsia="zh-CN"/>
        </w:rPr>
        <w:t>七星瓢虫环境科技(苏州)有限公司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rPr>
          <w:rFonts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年质量目标</w:t>
      </w:r>
      <w:r>
        <w:rPr>
          <w:rFonts w:hint="eastAsia" w:ascii="宋体" w:hAnsi="宋体" w:cs="宋体"/>
          <w:kern w:val="0"/>
          <w:szCs w:val="21"/>
          <w:lang w:val="en-US" w:eastAsia="zh-CN"/>
        </w:rPr>
        <w:t>已分解</w:t>
      </w:r>
      <w:r>
        <w:rPr>
          <w:rFonts w:hint="eastAsia" w:ascii="宋体" w:hAnsi="宋体" w:cs="宋体"/>
          <w:kern w:val="0"/>
          <w:szCs w:val="21"/>
        </w:rPr>
        <w:t>，并按规定的内容和时间进行考核，年度质量目标完成情况较好；</w:t>
      </w:r>
    </w:p>
    <w:p>
      <w:pPr>
        <w:widowControl/>
        <w:spacing w:line="360" w:lineRule="auto"/>
        <w:rPr>
          <w:rFonts w:hint="eastAsia" w:ascii="宋体" w:hAnsi="宋体" w:eastAsia="宋体" w:cs="宋体"/>
          <w:color w:val="000000" w:themeColor="text1"/>
          <w:kern w:val="0"/>
          <w:szCs w:val="21"/>
          <w:lang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szCs w:val="21"/>
          <w:lang w:val="en-US" w:eastAsia="zh-CN"/>
        </w:rPr>
        <w:t>重点审核了</w:t>
      </w:r>
      <w:r>
        <w:rPr>
          <w:rFonts w:hint="eastAsia" w:ascii="宋体" w:hAnsi="宋体"/>
          <w:szCs w:val="21"/>
        </w:rPr>
        <w:t>重要</w:t>
      </w:r>
      <w:r>
        <w:rPr>
          <w:rFonts w:hint="eastAsia" w:ascii="宋体" w:hAnsi="宋体"/>
          <w:szCs w:val="21"/>
          <w:lang w:val="en-US" w:eastAsia="zh-CN"/>
        </w:rPr>
        <w:t>测量过程</w:t>
      </w:r>
      <w:r>
        <w:rPr>
          <w:rFonts w:hint="eastAsia" w:ascii="宋体" w:hAnsi="宋体" w:cs="宋体"/>
          <w:kern w:val="0"/>
          <w:szCs w:val="21"/>
          <w:lang w:val="en-US" w:eastAsia="zh-CN"/>
        </w:rPr>
        <w:t>：挥发性有机物（TVOC）在线监测系统示值误差</w:t>
      </w:r>
      <w:r>
        <w:rPr>
          <w:rFonts w:hint="eastAsia" w:ascii="宋体" w:hAnsi="宋体" w:cs="宋体"/>
          <w:kern w:val="0"/>
          <w:szCs w:val="21"/>
          <w:lang w:eastAsia="zh-CN"/>
        </w:rPr>
        <w:t>，</w:t>
      </w:r>
      <w:r>
        <w:rPr>
          <w:rFonts w:hint="eastAsia"/>
          <w:sz w:val="21"/>
          <w:szCs w:val="21"/>
          <w:lang w:val="en-US" w:eastAsia="zh-CN"/>
        </w:rPr>
        <w:t>品管部对</w:t>
      </w:r>
      <w:r>
        <w:rPr>
          <w:rFonts w:hint="eastAsia" w:ascii="宋体" w:hAnsi="宋体"/>
          <w:szCs w:val="21"/>
          <w:lang w:val="en-US" w:eastAsia="zh-CN"/>
        </w:rPr>
        <w:t>挥</w:t>
      </w:r>
      <w:r>
        <w:rPr>
          <w:rFonts w:hint="eastAsia" w:ascii="宋体" w:hAnsi="宋体"/>
          <w:color w:val="000000" w:themeColor="text1"/>
          <w:szCs w:val="21"/>
          <w:lang w:val="en-US" w:eastAsia="zh-CN"/>
        </w:rPr>
        <w:t>发性有机物（TVOC）在线监测系统示值误差</w:t>
      </w:r>
      <w:r>
        <w:rPr>
          <w:rFonts w:hint="eastAsia" w:ascii="Times New Roman" w:hAnsi="Times New Roman"/>
          <w:color w:val="000000" w:themeColor="text1"/>
          <w:lang w:eastAsia="zh-CN"/>
        </w:rPr>
        <w:t>过程</w:t>
      </w:r>
      <w:r>
        <w:rPr>
          <w:rFonts w:hint="eastAsia" w:ascii="宋体" w:hAnsi="宋体"/>
          <w:color w:val="000000" w:themeColor="text1"/>
          <w:szCs w:val="21"/>
        </w:rPr>
        <w:t>进行了计量确认</w:t>
      </w:r>
      <w:r>
        <w:rPr>
          <w:rFonts w:hint="eastAsia" w:cs="宋体" w:asciiTheme="minorEastAsia" w:hAnsiTheme="minorEastAsia"/>
          <w:color w:val="000000" w:themeColor="text1"/>
          <w:kern w:val="0"/>
          <w:szCs w:val="21"/>
        </w:rPr>
        <w:t>。</w:t>
      </w:r>
    </w:p>
    <w:p>
      <w:pPr>
        <w:spacing w:line="360" w:lineRule="auto"/>
        <w:rPr>
          <w:rFonts w:hint="eastAsia" w:ascii="宋体" w:hAnsi="宋体"/>
          <w:color w:val="000000" w:themeColor="text1"/>
          <w:szCs w:val="21"/>
        </w:rPr>
      </w:pPr>
      <w:r>
        <w:rPr>
          <w:rFonts w:hint="eastAsia" w:ascii="宋体" w:hAnsi="宋体"/>
          <w:color w:val="000000" w:themeColor="text1"/>
          <w:szCs w:val="21"/>
          <w:lang w:val="en-US" w:eastAsia="zh-CN"/>
        </w:rPr>
        <w:t>4.3</w:t>
      </w:r>
      <w:r>
        <w:rPr>
          <w:rFonts w:hint="eastAsia" w:ascii="宋体" w:hAnsi="宋体"/>
          <w:color w:val="000000" w:themeColor="text1"/>
          <w:szCs w:val="21"/>
        </w:rPr>
        <w:t>.1查</w:t>
      </w:r>
      <w:r>
        <w:rPr>
          <w:rFonts w:hint="eastAsia" w:ascii="宋体" w:hAnsi="宋体"/>
          <w:color w:val="000000" w:themeColor="text1"/>
          <w:szCs w:val="21"/>
          <w:lang w:val="en-US" w:eastAsia="zh-CN"/>
        </w:rPr>
        <w:t>挥发性有机物（TVOC）在线监测系统示值误差测量</w:t>
      </w:r>
      <w:r>
        <w:rPr>
          <w:rFonts w:hint="eastAsia" w:ascii="宋体" w:hAnsi="宋体" w:cs="宋体"/>
          <w:color w:val="000000" w:themeColor="text1"/>
          <w:kern w:val="0"/>
          <w:szCs w:val="21"/>
        </w:rPr>
        <w:t>过程</w:t>
      </w:r>
      <w:r>
        <w:rPr>
          <w:rFonts w:hint="eastAsia" w:ascii="宋体" w:hAnsi="宋体"/>
          <w:color w:val="000000" w:themeColor="text1"/>
          <w:szCs w:val="21"/>
        </w:rPr>
        <w:t>等</w:t>
      </w:r>
      <w:r>
        <w:rPr>
          <w:rFonts w:hint="eastAsia" w:ascii="宋体" w:hAnsi="宋体" w:cs="宋体"/>
          <w:color w:val="000000" w:themeColor="text1"/>
          <w:kern w:val="0"/>
          <w:szCs w:val="21"/>
        </w:rPr>
        <w:t>，企业规定了测量人员和测量方法、测量设备的控制要求，</w:t>
      </w:r>
      <w:r>
        <w:rPr>
          <w:rFonts w:hint="eastAsia" w:ascii="宋体" w:hAnsi="宋体"/>
          <w:bCs/>
          <w:color w:val="000000" w:themeColor="text1"/>
          <w:szCs w:val="21"/>
        </w:rPr>
        <w:t>详</w:t>
      </w:r>
      <w:r>
        <w:rPr>
          <w:rFonts w:hint="eastAsia" w:ascii="宋体" w:hAnsi="宋体" w:cs="宋体"/>
          <w:color w:val="000000" w:themeColor="text1"/>
          <w:kern w:val="0"/>
          <w:szCs w:val="21"/>
        </w:rPr>
        <w:t>见《测量过程控制抽查表》。</w:t>
      </w:r>
    </w:p>
    <w:p>
      <w:pPr>
        <w:spacing w:line="360" w:lineRule="auto"/>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现场重点抽查</w:t>
      </w:r>
      <w:r>
        <w:rPr>
          <w:rFonts w:hint="eastAsia" w:ascii="宋体" w:hAnsi="宋体"/>
          <w:szCs w:val="21"/>
          <w:lang w:val="en-US" w:eastAsia="zh-CN"/>
        </w:rPr>
        <w:t>挥发性有机物（TVOC）在线监测系统示值误差</w:t>
      </w:r>
      <w:r>
        <w:rPr>
          <w:rFonts w:hint="eastAsia" w:ascii="宋体" w:hAnsi="宋体" w:cs="宋体"/>
          <w:color w:val="000000"/>
          <w:kern w:val="0"/>
          <w:szCs w:val="21"/>
        </w:rPr>
        <w:t>过程</w:t>
      </w:r>
      <w:r>
        <w:rPr>
          <w:rFonts w:hint="eastAsia" w:ascii="宋体" w:hAnsi="宋体"/>
          <w:color w:val="000000"/>
          <w:szCs w:val="21"/>
        </w:rPr>
        <w:t>不确定度评定，评定方法正确，详见附件《不确定度评定报告》。</w:t>
      </w:r>
    </w:p>
    <w:p>
      <w:pPr>
        <w:spacing w:line="360" w:lineRule="auto"/>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现场重点抽查了</w:t>
      </w:r>
      <w:r>
        <w:rPr>
          <w:rFonts w:hint="eastAsia" w:ascii="宋体" w:hAnsi="宋体"/>
          <w:szCs w:val="21"/>
          <w:lang w:val="en-US" w:eastAsia="zh-CN"/>
        </w:rPr>
        <w:t>挥发性有机物（TVOC）在线监测系统示值误差</w:t>
      </w:r>
      <w:r>
        <w:rPr>
          <w:rFonts w:hint="eastAsia" w:ascii="宋体" w:hAnsi="宋体" w:cs="宋体"/>
          <w:color w:val="000000"/>
          <w:kern w:val="0"/>
          <w:szCs w:val="21"/>
        </w:rPr>
        <w:t>过程</w:t>
      </w:r>
      <w:r>
        <w:rPr>
          <w:rFonts w:hint="eastAsia" w:ascii="宋体" w:hAnsi="宋体"/>
          <w:color w:val="000000"/>
          <w:szCs w:val="21"/>
        </w:rPr>
        <w:t>有效性确认，测量过程</w:t>
      </w:r>
      <w:r>
        <w:rPr>
          <w:rFonts w:hint="eastAsia" w:ascii="宋体" w:hAnsi="宋体"/>
          <w:color w:val="000000"/>
          <w:szCs w:val="21"/>
          <w:lang w:val="en-US" w:eastAsia="zh-CN"/>
        </w:rPr>
        <w:t>比对记录</w:t>
      </w:r>
      <w:r>
        <w:rPr>
          <w:rFonts w:hint="eastAsia" w:ascii="宋体" w:hAnsi="宋体"/>
          <w:color w:val="000000"/>
          <w:szCs w:val="21"/>
        </w:rPr>
        <w:t>基本满足标准要求，</w:t>
      </w:r>
      <w:r>
        <w:rPr>
          <w:rFonts w:hint="eastAsia" w:ascii="宋体" w:hAnsi="宋体"/>
          <w:bCs/>
          <w:color w:val="000000"/>
          <w:szCs w:val="21"/>
        </w:rPr>
        <w:t>详</w:t>
      </w:r>
      <w:r>
        <w:rPr>
          <w:rFonts w:hint="eastAsia" w:ascii="宋体" w:hAnsi="宋体"/>
          <w:color w:val="000000"/>
          <w:szCs w:val="21"/>
        </w:rPr>
        <w:t>见附件《耐压测试比对记录》、《测量过程有效性确认记录表》。</w:t>
      </w:r>
    </w:p>
    <w:p>
      <w:pPr>
        <w:widowControl/>
        <w:numPr>
          <w:ilvl w:val="0"/>
          <w:numId w:val="0"/>
        </w:numPr>
        <w:spacing w:line="360" w:lineRule="auto"/>
        <w:ind w:leftChars="0"/>
        <w:rPr>
          <w:rFonts w:cs="宋体" w:asciiTheme="minorEastAsia" w:hAnsiTheme="minorEastAsia"/>
          <w:kern w:val="0"/>
          <w:szCs w:val="21"/>
        </w:rPr>
      </w:pPr>
      <w:r>
        <w:rPr>
          <w:rFonts w:hint="eastAsia" w:asciiTheme="minorEastAsia" w:hAnsiTheme="minorEastAsia"/>
          <w:bCs/>
          <w:szCs w:val="21"/>
          <w:lang w:val="en-US" w:eastAsia="zh-CN"/>
        </w:rPr>
        <w:t>5.</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widowControl/>
        <w:spacing w:line="360" w:lineRule="auto"/>
        <w:ind w:firstLine="420" w:firstLineChars="200"/>
        <w:jc w:val="left"/>
      </w:pPr>
      <w:r>
        <w:rPr>
          <w:rFonts w:hint="eastAsia" w:cs="宋体"/>
          <w:kern w:val="0"/>
        </w:rPr>
        <w:t>公司已针对上一年度开具的不符合项</w:t>
      </w:r>
      <w:r>
        <w:rPr>
          <w:rFonts w:hint="eastAsia" w:cs="宋体"/>
          <w:kern w:val="0"/>
          <w:lang w:eastAsia="zh-CN"/>
        </w:rPr>
        <w:t>，</w:t>
      </w:r>
      <w:r>
        <w:rPr>
          <w:rFonts w:hint="eastAsia" w:ascii="宋体" w:hAnsi="宋体" w:cs="宋体"/>
          <w:kern w:val="0"/>
          <w:szCs w:val="21"/>
          <w:lang w:val="en-US" w:eastAsia="zh-CN"/>
        </w:rPr>
        <w:t>均</w:t>
      </w:r>
      <w:r>
        <w:rPr>
          <w:rFonts w:hint="eastAsia" w:cs="宋体"/>
          <w:kern w:val="0"/>
        </w:rPr>
        <w:t>已采取有效措施，已关闭。</w:t>
      </w:r>
    </w:p>
    <w:p>
      <w:pPr>
        <w:widowControl/>
        <w:numPr>
          <w:ilvl w:val="0"/>
          <w:numId w:val="2"/>
        </w:numPr>
        <w:spacing w:line="360"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pPr>
      <w:r>
        <w:rPr>
          <w:rFonts w:hint="eastAsia" w:ascii="宋体" w:hAnsi="宋体"/>
          <w:bCs/>
          <w:szCs w:val="21"/>
        </w:rPr>
        <w:t>公司目前尚未接到客户在产品质量、</w:t>
      </w:r>
      <w:r>
        <w:rPr>
          <w:rFonts w:hint="eastAsia" w:ascii="宋体" w:hAnsi="宋体"/>
          <w:bCs/>
          <w:szCs w:val="21"/>
          <w:lang w:val="en-US" w:eastAsia="zh-CN"/>
        </w:rPr>
        <w:t>成果</w:t>
      </w:r>
      <w:r>
        <w:rPr>
          <w:rFonts w:hint="eastAsia" w:ascii="宋体" w:hAnsi="宋体"/>
          <w:bCs/>
          <w:szCs w:val="21"/>
        </w:rPr>
        <w:t>交接、能源、安全、现场管理等方面的投诉和纠纷。</w:t>
      </w:r>
    </w:p>
    <w:p>
      <w:pPr>
        <w:widowControl/>
        <w:numPr>
          <w:ilvl w:val="0"/>
          <w:numId w:val="2"/>
        </w:numPr>
        <w:spacing w:line="360" w:lineRule="auto"/>
        <w:ind w:left="0" w:leftChars="0" w:firstLine="0" w:firstLineChars="0"/>
        <w:rPr>
          <w:rFonts w:hint="eastAsia" w:asciiTheme="minorEastAsia" w:hAnsiTheme="minorEastAsia"/>
          <w:bCs/>
          <w:szCs w:val="21"/>
        </w:rPr>
      </w:pPr>
      <w:r>
        <w:rPr>
          <w:rFonts w:hint="eastAsia" w:asciiTheme="minorEastAsia" w:hAnsiTheme="minorEastAsia"/>
          <w:bCs/>
          <w:szCs w:val="21"/>
        </w:rPr>
        <w:t>测量管理体系在实现获证客户目标方面的有效性及持续的运作控制情况：</w:t>
      </w:r>
    </w:p>
    <w:p>
      <w:pPr>
        <w:widowControl/>
        <w:numPr>
          <w:numId w:val="0"/>
        </w:numPr>
        <w:spacing w:line="360" w:lineRule="auto"/>
        <w:ind w:leftChars="0" w:firstLine="210" w:firstLineChars="100"/>
        <w:rPr>
          <w:rFonts w:hint="eastAsia" w:ascii="宋体" w:hAnsi="宋体"/>
          <w:bCs/>
          <w:szCs w:val="21"/>
        </w:rPr>
      </w:pPr>
      <w:r>
        <w:rPr>
          <w:rFonts w:hint="eastAsia" w:asciiTheme="minorEastAsia" w:hAnsiTheme="minorEastAsia"/>
          <w:bCs/>
          <w:szCs w:val="21"/>
        </w:rPr>
        <w:t>公司</w:t>
      </w:r>
      <w:r>
        <w:rPr>
          <w:rFonts w:hint="eastAsia" w:asciiTheme="minorEastAsia" w:hAnsiTheme="minorEastAsia"/>
          <w:bCs/>
          <w:szCs w:val="21"/>
          <w:lang w:val="en-US" w:eastAsia="zh-CN"/>
        </w:rPr>
        <w:t>制</w:t>
      </w:r>
      <w:r>
        <w:rPr>
          <w:rFonts w:hint="eastAsia" w:asciiTheme="minorEastAsia" w:hAnsiTheme="minorEastAsia"/>
          <w:bCs/>
          <w:szCs w:val="21"/>
        </w:rPr>
        <w:t>定</w:t>
      </w:r>
      <w:r>
        <w:rPr>
          <w:rFonts w:hint="eastAsia" w:asciiTheme="minorEastAsia" w:hAnsiTheme="minorEastAsia"/>
          <w:bCs/>
          <w:szCs w:val="21"/>
          <w:lang w:val="en-US" w:eastAsia="zh-CN"/>
        </w:rPr>
        <w:t>2020年</w:t>
      </w:r>
      <w:r>
        <w:rPr>
          <w:rFonts w:hint="eastAsia" w:asciiTheme="minorEastAsia" w:hAnsiTheme="minorEastAsia"/>
          <w:bCs/>
          <w:szCs w:val="21"/>
        </w:rPr>
        <w:t>的计量方针及</w:t>
      </w:r>
      <w:r>
        <w:rPr>
          <w:rFonts w:hint="eastAsia" w:asciiTheme="minorEastAsia" w:hAnsiTheme="minorEastAsia"/>
          <w:bCs/>
          <w:szCs w:val="21"/>
          <w:lang w:val="en-US" w:eastAsia="zh-CN"/>
        </w:rPr>
        <w:t>5</w:t>
      </w:r>
      <w:r>
        <w:rPr>
          <w:rFonts w:hint="eastAsia" w:asciiTheme="minorEastAsia" w:hAnsiTheme="minorEastAsia"/>
          <w:bCs/>
          <w:szCs w:val="21"/>
        </w:rPr>
        <w:t>项质量目标</w:t>
      </w:r>
      <w:r>
        <w:rPr>
          <w:rFonts w:hint="eastAsia" w:ascii="宋体" w:hAnsi="宋体"/>
          <w:bCs/>
          <w:szCs w:val="21"/>
          <w:lang w:eastAsia="zh-CN"/>
        </w:rPr>
        <w:t>，</w:t>
      </w:r>
      <w:r>
        <w:rPr>
          <w:rFonts w:hint="eastAsia" w:ascii="宋体" w:hAnsi="宋体"/>
          <w:bCs/>
          <w:szCs w:val="21"/>
        </w:rPr>
        <w:t>内容基本覆盖标准要素。公司将质量目标</w:t>
      </w:r>
      <w:r>
        <w:rPr>
          <w:rFonts w:hint="eastAsia" w:ascii="宋体" w:hAnsi="宋体"/>
          <w:bCs/>
          <w:szCs w:val="21"/>
          <w:lang w:val="en-US" w:eastAsia="zh-CN"/>
        </w:rPr>
        <w:t>8.</w:t>
      </w:r>
      <w:r>
        <w:rPr>
          <w:rFonts w:hint="eastAsia" w:ascii="宋体" w:hAnsi="宋体"/>
          <w:bCs/>
          <w:szCs w:val="21"/>
        </w:rPr>
        <w:t>考核细则已纳入员工绩效考核表，进一步体现了实现顾客、质量、服务等方面的要求，符合GB/T 19022-2003标准要</w:t>
      </w:r>
      <w:r>
        <w:rPr>
          <w:rFonts w:hint="eastAsia" w:ascii="宋体" w:hAnsi="宋体"/>
          <w:bCs/>
          <w:szCs w:val="21"/>
          <w:lang w:eastAsia="zh-CN"/>
        </w:rPr>
        <w:t>，</w:t>
      </w:r>
      <w:r>
        <w:rPr>
          <w:rFonts w:hint="eastAsia" w:ascii="宋体" w:hAnsi="宋体"/>
          <w:bCs/>
          <w:szCs w:val="21"/>
          <w:lang w:val="en-US" w:eastAsia="zh-CN"/>
        </w:rPr>
        <w:t>提供2020年1-10月目标完成统计考核，均已达标。</w:t>
      </w:r>
    </w:p>
    <w:p>
      <w:pPr>
        <w:widowControl/>
        <w:numPr>
          <w:numId w:val="0"/>
        </w:numPr>
        <w:spacing w:line="360" w:lineRule="auto"/>
        <w:ind w:leftChars="0"/>
        <w:rPr>
          <w:rFonts w:hint="eastAsia" w:asciiTheme="minorEastAsia" w:hAnsiTheme="minorEastAsia"/>
          <w:bCs/>
          <w:szCs w:val="21"/>
        </w:rPr>
      </w:pPr>
      <w:r>
        <w:rPr>
          <w:rFonts w:hint="eastAsia" w:asciiTheme="minorEastAsia" w:hAnsiTheme="minorEastAsia"/>
          <w:bCs/>
          <w:szCs w:val="21"/>
          <w:lang w:val="en-US" w:eastAsia="zh-CN"/>
        </w:rPr>
        <w:t>9.</w:t>
      </w:r>
      <w:r>
        <w:rPr>
          <w:rFonts w:hint="eastAsia" w:asciiTheme="minorEastAsia" w:hAnsiTheme="minorEastAsia"/>
          <w:bCs/>
          <w:szCs w:val="21"/>
        </w:rPr>
        <w:t>对企业组织任何变更的审核</w:t>
      </w:r>
    </w:p>
    <w:p>
      <w:pPr>
        <w:widowControl/>
        <w:numPr>
          <w:numId w:val="0"/>
        </w:numPr>
        <w:spacing w:line="360" w:lineRule="auto"/>
        <w:ind w:leftChars="0" w:firstLine="210" w:firstLineChars="100"/>
        <w:rPr>
          <w:rFonts w:hint="eastAsia" w:ascii="宋体" w:hAnsi="宋体"/>
          <w:bCs/>
          <w:szCs w:val="21"/>
          <w:lang w:eastAsia="zh-CN"/>
        </w:rPr>
      </w:pPr>
      <w:r>
        <w:rPr>
          <w:rFonts w:hint="eastAsia" w:ascii="宋体" w:hAnsi="宋体"/>
          <w:bCs/>
          <w:szCs w:val="21"/>
          <w:lang w:eastAsia="zh-CN"/>
        </w:rPr>
        <w:t>七星瓢虫环境科技(苏州)有限公司，</w:t>
      </w:r>
      <w:r>
        <w:rPr>
          <w:rFonts w:hint="eastAsia" w:ascii="宋体" w:hAnsi="宋体"/>
          <w:bCs/>
          <w:szCs w:val="21"/>
          <w:lang w:val="en-US" w:eastAsia="zh-CN"/>
        </w:rPr>
        <w:t>2020年4月26日，对营业执照进行了变更，</w:t>
      </w:r>
      <w:r>
        <w:rPr>
          <w:rFonts w:hint="eastAsia" w:ascii="宋体" w:hAnsi="宋体"/>
          <w:bCs/>
          <w:szCs w:val="21"/>
          <w:lang w:eastAsia="zh-CN"/>
        </w:rPr>
        <w:t>注册地址</w:t>
      </w:r>
      <w:r>
        <w:rPr>
          <w:rFonts w:hint="eastAsia" w:ascii="宋体" w:hAnsi="宋体"/>
          <w:bCs/>
          <w:szCs w:val="21"/>
          <w:lang w:val="en-US" w:eastAsia="zh-CN"/>
        </w:rPr>
        <w:t>由昆山市巴城镇德昌路西侧，</w:t>
      </w:r>
      <w:r>
        <w:rPr>
          <w:rFonts w:hint="eastAsia" w:ascii="宋体" w:hAnsi="宋体"/>
          <w:bCs/>
          <w:szCs w:val="21"/>
          <w:lang w:eastAsia="zh-CN"/>
        </w:rPr>
        <w:t>变更为：</w:t>
      </w:r>
      <w:r>
        <w:rPr>
          <w:rFonts w:hint="eastAsia" w:ascii="宋体" w:hAnsi="宋体"/>
          <w:bCs/>
          <w:szCs w:val="21"/>
          <w:lang w:val="en-US" w:eastAsia="zh-CN"/>
        </w:rPr>
        <w:t>张家港市塘桥镇南京西路259号</w:t>
      </w:r>
      <w:r>
        <w:rPr>
          <w:rFonts w:hint="eastAsia" w:ascii="宋体" w:hAnsi="宋体"/>
          <w:bCs/>
          <w:szCs w:val="21"/>
          <w:lang w:eastAsia="zh-CN"/>
        </w:rPr>
        <w:t>。</w:t>
      </w:r>
    </w:p>
    <w:p>
      <w:pPr>
        <w:widowControl/>
        <w:spacing w:line="360" w:lineRule="auto"/>
        <w:rPr>
          <w:rFonts w:cs="宋体" w:asciiTheme="minorEastAsia" w:hAnsiTheme="minorEastAsia"/>
          <w:bCs/>
          <w:kern w:val="0"/>
          <w:szCs w:val="21"/>
        </w:rPr>
      </w:pPr>
      <w:r>
        <w:rPr>
          <w:rFonts w:hint="eastAsia" w:asciiTheme="minorEastAsia" w:hAnsiTheme="minorEastAsia"/>
          <w:bCs/>
          <w:szCs w:val="21"/>
          <w:lang w:val="en-US" w:eastAsia="zh-CN"/>
        </w:rPr>
        <w:t>10</w:t>
      </w: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该公司已按要求北京国标联合认证有限公司要求正确使用标志和证书。</w:t>
      </w:r>
    </w:p>
    <w:p>
      <w:pPr>
        <w:widowControl/>
        <w:spacing w:line="36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lang w:val="en-US" w:eastAsia="zh-CN"/>
        </w:rPr>
        <w:t>11.</w:t>
      </w:r>
      <w:r>
        <w:rPr>
          <w:rFonts w:hint="eastAsia" w:ascii="宋体" w:hAnsi="宋体" w:eastAsia="宋体" w:cs="宋体"/>
          <w:color w:val="000000" w:themeColor="text1"/>
          <w:kern w:val="0"/>
          <w:szCs w:val="21"/>
        </w:rPr>
        <w:t xml:space="preserve"> 本次监督审核共出具一般不符合</w:t>
      </w:r>
      <w:r>
        <w:rPr>
          <w:rFonts w:hint="eastAsia" w:ascii="宋体" w:hAnsi="宋体" w:eastAsia="宋体" w:cs="宋体"/>
          <w:color w:val="000000" w:themeColor="text1"/>
          <w:kern w:val="0"/>
          <w:szCs w:val="21"/>
          <w:lang w:val="en-US" w:eastAsia="zh-CN"/>
        </w:rPr>
        <w:t>项1项</w:t>
      </w:r>
      <w:r>
        <w:rPr>
          <w:rFonts w:hint="eastAsia" w:ascii="宋体" w:hAnsi="宋体" w:eastAsia="宋体" w:cs="宋体"/>
          <w:color w:val="000000" w:themeColor="text1"/>
          <w:kern w:val="0"/>
          <w:szCs w:val="21"/>
        </w:rPr>
        <w:t>，未发现严重的或系统性的不符合情况：</w:t>
      </w:r>
    </w:p>
    <w:p>
      <w:pPr>
        <w:widowControl/>
        <w:spacing w:line="360" w:lineRule="auto"/>
        <w:jc w:val="left"/>
        <w:rPr>
          <w:rFonts w:hint="eastAsia" w:ascii="宋体" w:hAnsi="宋体" w:cs="宋体"/>
          <w:bCs/>
          <w:color w:val="000000" w:themeColor="text1"/>
          <w:kern w:val="0"/>
          <w:szCs w:val="21"/>
        </w:rPr>
      </w:pPr>
      <w:r>
        <w:rPr>
          <w:rFonts w:hint="eastAsia" w:ascii="宋体" w:hAnsi="宋体" w:cs="宋体"/>
          <w:color w:val="000000" w:themeColor="text1"/>
          <w:kern w:val="0"/>
          <w:szCs w:val="21"/>
          <w:lang w:val="en-US" w:eastAsia="zh-CN"/>
        </w:rPr>
        <w:t>11</w:t>
      </w:r>
      <w:bookmarkStart w:id="10" w:name="_GoBack"/>
      <w:bookmarkEnd w:id="10"/>
      <w:r>
        <w:rPr>
          <w:rFonts w:hint="eastAsia" w:ascii="宋体" w:hAnsi="宋体" w:cs="宋体"/>
          <w:color w:val="000000" w:themeColor="text1"/>
          <w:kern w:val="0"/>
          <w:szCs w:val="21"/>
          <w:lang w:val="en-US" w:eastAsia="zh-CN"/>
        </w:rPr>
        <w:t xml:space="preserve">.1  </w:t>
      </w:r>
      <w:r>
        <w:rPr>
          <w:rFonts w:hint="eastAsia" w:ascii="宋体" w:hAnsi="宋体" w:eastAsia="宋体" w:cs="宋体"/>
          <w:color w:val="000000" w:themeColor="text1"/>
          <w:szCs w:val="21"/>
          <w:lang w:val="en-US" w:eastAsia="zh-CN"/>
        </w:rPr>
        <w:t>查生技部，编号：</w:t>
      </w:r>
      <w:r>
        <w:rPr>
          <w:rFonts w:hint="eastAsia"/>
          <w:color w:val="000000" w:themeColor="text1"/>
          <w:szCs w:val="21"/>
          <w:lang w:val="en-US" w:eastAsia="zh-CN"/>
        </w:rPr>
        <w:t>RK75W-BEAB012，泄漏电流测试仪</w:t>
      </w:r>
      <w:r>
        <w:rPr>
          <w:rFonts w:hint="eastAsia" w:cstheme="minorBidi"/>
          <w:color w:val="000000" w:themeColor="text1"/>
          <w:kern w:val="2"/>
          <w:sz w:val="21"/>
          <w:szCs w:val="21"/>
          <w:lang w:val="en-US" w:eastAsia="zh-CN" w:bidi="ar-SA"/>
        </w:rPr>
        <w:t>经2020.10.28校准，未见计量确认标识，</w:t>
      </w:r>
      <w:r>
        <w:rPr>
          <w:rFonts w:hint="eastAsia" w:ascii="宋体" w:hAnsi="宋体" w:cs="宋体"/>
          <w:bCs/>
          <w:color w:val="000000" w:themeColor="text1"/>
          <w:kern w:val="0"/>
          <w:szCs w:val="21"/>
          <w:lang w:val="en-US" w:eastAsia="zh-CN"/>
        </w:rPr>
        <w:t>不符合GB/T19022-2003标准6.2.4条款的要求。</w:t>
      </w:r>
    </w:p>
    <w:p>
      <w:pPr>
        <w:widowControl/>
        <w:numPr>
          <w:ilvl w:val="0"/>
          <w:numId w:val="3"/>
        </w:numPr>
        <w:spacing w:line="360" w:lineRule="auto"/>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11</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25</w:t>
      </w:r>
      <w:r>
        <w:rPr>
          <w:rFonts w:hint="eastAsia" w:ascii="宋体" w:hAnsi="宋体" w:eastAsia="宋体" w:cs="宋体"/>
          <w:bCs/>
          <w:kern w:val="0"/>
          <w:szCs w:val="21"/>
        </w:rPr>
        <w:t>日</w:t>
      </w:r>
      <w:r>
        <w:rPr>
          <w:rFonts w:hint="eastAsia" w:ascii="宋体" w:hAnsi="宋体" w:eastAsia="宋体" w:cs="宋体"/>
          <w:bCs/>
          <w:kern w:val="0"/>
          <w:szCs w:val="21"/>
          <w:lang w:val="en-US" w:eastAsia="zh-CN"/>
        </w:rPr>
        <w:t>下午-26日上午，</w:t>
      </w:r>
      <w:r>
        <w:rPr>
          <w:rFonts w:hint="eastAsia" w:ascii="宋体" w:hAnsi="宋体" w:eastAsia="宋体" w:cs="宋体"/>
          <w:bCs/>
          <w:kern w:val="0"/>
          <w:szCs w:val="21"/>
        </w:rPr>
        <w:t>对</w:t>
      </w:r>
      <w:r>
        <w:rPr>
          <w:rFonts w:hint="eastAsia" w:ascii="宋体" w:hAnsi="宋体" w:eastAsia="宋体"/>
          <w:szCs w:val="21"/>
          <w:lang w:eastAsia="zh-CN"/>
        </w:rPr>
        <w:t>七星瓢虫环境科技(苏州)有限公司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七星瓢虫环境科技(苏州)有限公司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360" w:lineRule="auto"/>
        <w:ind w:firstLine="420" w:firstLineChars="200"/>
        <w:rPr>
          <w:rStyle w:val="10"/>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w:t>
      </w:r>
      <w:r>
        <w:rPr>
          <w:rFonts w:hint="eastAsia" w:ascii="宋体" w:hAnsi="宋体" w:eastAsia="宋体" w:cs="Times New Roman"/>
          <w:szCs w:val="21"/>
          <w:lang w:val="en-US" w:eastAsia="zh-CN"/>
        </w:rPr>
        <w:t>人员培训</w:t>
      </w:r>
      <w:r>
        <w:rPr>
          <w:rFonts w:hint="eastAsia" w:ascii="宋体" w:hAnsi="宋体" w:eastAsia="宋体" w:cs="Times New Roman"/>
          <w:szCs w:val="21"/>
        </w:rPr>
        <w:t>，提升全员计量意识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widowControl/>
        <w:spacing w:line="276" w:lineRule="auto"/>
        <w:rPr>
          <w:rFonts w:ascii="宋体" w:hAnsi="宋体" w:eastAsia="宋体" w:cs="宋体"/>
          <w:kern w:val="0"/>
          <w:szCs w:val="28"/>
        </w:rPr>
      </w:pPr>
    </w:p>
    <w:p>
      <w:pPr>
        <w:widowControl/>
        <w:spacing w:line="276" w:lineRule="auto"/>
        <w:rPr>
          <w:rFonts w:ascii="宋体" w:hAnsi="宋体" w:eastAsia="宋体" w:cs="宋体"/>
          <w:kern w:val="0"/>
          <w:szCs w:val="28"/>
        </w:rPr>
      </w:pPr>
    </w:p>
    <w:p>
      <w:pPr>
        <w:widowControl/>
        <w:spacing w:line="480" w:lineRule="auto"/>
        <w:ind w:right="945" w:firstLine="3360" w:firstLineChars="1600"/>
        <w:jc w:val="both"/>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日期：</w:t>
      </w:r>
    </w:p>
    <w:p>
      <w:pPr>
        <w:widowControl/>
        <w:spacing w:line="480"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480" w:lineRule="auto"/>
        <w:ind w:firstLine="3328" w:firstLineChars="15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480" w:lineRule="auto"/>
        <w:ind w:right="1050"/>
        <w:rPr>
          <w:rFonts w:ascii="宋体" w:hAnsi="宋体" w:eastAsia="宋体" w:cs="宋体"/>
          <w:b/>
          <w:bCs/>
          <w:kern w:val="0"/>
          <w:szCs w:val="21"/>
        </w:rPr>
      </w:pPr>
    </w:p>
    <w:p>
      <w:pPr>
        <w:widowControl/>
        <w:spacing w:line="480"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lang w:val="en-US" w:eastAsia="zh-CN"/>
        </w:rPr>
        <w:t xml:space="preserve">                                    </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9"/>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7EE965"/>
    <w:multiLevelType w:val="singleLevel"/>
    <w:tmpl w:val="A27EE965"/>
    <w:lvl w:ilvl="0" w:tentative="0">
      <w:start w:val="6"/>
      <w:numFmt w:val="decimal"/>
      <w:lvlText w:val="%1."/>
      <w:lvlJc w:val="left"/>
      <w:pPr>
        <w:tabs>
          <w:tab w:val="left" w:pos="312"/>
        </w:tabs>
      </w:pPr>
    </w:lvl>
  </w:abstractNum>
  <w:abstractNum w:abstractNumId="1">
    <w:nsid w:val="C3CB87CB"/>
    <w:multiLevelType w:val="singleLevel"/>
    <w:tmpl w:val="C3CB87CB"/>
    <w:lvl w:ilvl="0" w:tentative="0">
      <w:start w:val="3"/>
      <w:numFmt w:val="chineseCounting"/>
      <w:suff w:val="nothing"/>
      <w:lvlText w:val="%1、"/>
      <w:lvlJc w:val="left"/>
      <w:rPr>
        <w:rFonts w:hint="eastAsia"/>
      </w:rPr>
    </w:lvl>
  </w:abstractNum>
  <w:abstractNum w:abstractNumId="2">
    <w:nsid w:val="FF8F004C"/>
    <w:multiLevelType w:val="singleLevel"/>
    <w:tmpl w:val="FF8F004C"/>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EE411A"/>
    <w:rsid w:val="5A446A10"/>
    <w:rsid w:val="67FB3C68"/>
    <w:rsid w:val="6F3557C2"/>
    <w:rsid w:val="79DE01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3</TotalTime>
  <ScaleCrop>false</ScaleCrop>
  <LinksUpToDate>false</LinksUpToDate>
  <CharactersWithSpaces>540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2020-11-26T02:48:24Z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