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0203-2019-2020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24"/>
        <w:gridCol w:w="191"/>
        <w:gridCol w:w="1742"/>
        <w:gridCol w:w="1550"/>
        <w:gridCol w:w="212"/>
        <w:gridCol w:w="1150"/>
        <w:gridCol w:w="1050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2857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挥发性有机物（TVOC）在线监测系统示值误差测量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标准</w:t>
            </w:r>
            <w:r>
              <w:rPr>
                <w:rFonts w:hint="eastAsia" w:ascii="Times New Roman" w:hAnsi="Times New Roman" w:cs="Times New Roman"/>
              </w:rPr>
              <w:t>气体最大允许误差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±10%FS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≤</w:t>
            </w: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/>
                <w:sz w:val="24"/>
                <w:szCs w:val="24"/>
              </w:rPr>
              <w:t>3.0%（</w:t>
            </w:r>
            <w:r>
              <w:rPr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876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9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标准气体异丁烯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50.5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ppm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相对扩展不确定度</w:t>
            </w: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</w:rPr>
              <w:t>%（k=2）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95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QXPC</w:t>
            </w:r>
            <w:r>
              <w:rPr>
                <w:rFonts w:hint="eastAsia" w:ascii="宋体" w:hAnsi="宋体"/>
              </w:rPr>
              <w:t>/QR-4.0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95" w:type="dxa"/>
            <w:gridSpan w:val="6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cs="Calibri"/>
                <w:color w:val="000000"/>
                <w:szCs w:val="21"/>
              </w:rPr>
              <w:t>JJF</w:t>
            </w: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cs="Calibri"/>
                <w:color w:val="000000"/>
                <w:szCs w:val="21"/>
              </w:rPr>
              <w:t>1172-2007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95" w:type="dxa"/>
            <w:gridSpan w:val="6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温度（-10</w:t>
            </w:r>
            <w:r>
              <w:rPr>
                <w:rFonts w:hint="eastAsia" w:ascii="宋体" w:hAnsi="宋体" w:eastAsia="宋体" w:cs="Times New Roman"/>
              </w:rPr>
              <w:t>～45</w:t>
            </w:r>
            <w:r>
              <w:rPr>
                <w:rFonts w:hint="eastAsia" w:ascii="Times New Roman" w:hAnsi="Times New Roman" w:cs="Times New Roman"/>
              </w:rPr>
              <w:t>）</w:t>
            </w:r>
            <w:r>
              <w:rPr>
                <w:rFonts w:hint="eastAsia" w:cs="Times New Roman" w:asciiTheme="minorEastAsia" w:hAnsiTheme="minorEastAsia"/>
              </w:rPr>
              <w:t>℃</w:t>
            </w:r>
            <w:r>
              <w:rPr>
                <w:rFonts w:hint="eastAsia" w:ascii="Times New Roman" w:hAnsi="Times New Roman" w:cs="Times New Roman"/>
              </w:rPr>
              <w:t>，湿度</w:t>
            </w:r>
            <w:r>
              <w:rPr>
                <w:rFonts w:cs="Calibri"/>
                <w:color w:val="000000"/>
                <w:szCs w:val="21"/>
              </w:rPr>
              <w:t xml:space="preserve">0% </w:t>
            </w:r>
            <w:r>
              <w:rPr>
                <w:rFonts w:hint="eastAsia" w:cs="Calibri"/>
                <w:color w:val="000000"/>
                <w:szCs w:val="21"/>
              </w:rPr>
              <w:t>～</w:t>
            </w:r>
            <w:r>
              <w:rPr>
                <w:rFonts w:cs="Calibri"/>
                <w:color w:val="000000"/>
                <w:szCs w:val="21"/>
              </w:rPr>
              <w:t xml:space="preserve"> 95% RH(</w:t>
            </w:r>
            <w:r>
              <w:rPr>
                <w:rFonts w:hint="eastAsia" w:ascii="宋体" w:cs="宋体"/>
                <w:color w:val="000000"/>
                <w:szCs w:val="21"/>
              </w:rPr>
              <w:t>无冷凝</w:t>
            </w:r>
            <w:r>
              <w:rPr>
                <w:rFonts w:cs="Calibri"/>
                <w:color w:val="000000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</w:rPr>
              <w:t>，大气压（</w:t>
            </w:r>
            <w:r>
              <w:rPr>
                <w:rFonts w:hint="eastAsia" w:ascii="宋体" w:hAnsi="宋体"/>
                <w:szCs w:val="21"/>
              </w:rPr>
              <w:t>(86</w:t>
            </w:r>
            <w:r>
              <w:rPr>
                <w:rFonts w:ascii="宋体" w:hAnsi="宋体"/>
                <w:szCs w:val="21"/>
              </w:rPr>
              <w:t>-106)kPa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95" w:type="dxa"/>
            <w:gridSpan w:val="6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季天赐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95" w:type="dxa"/>
            <w:gridSpan w:val="6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95" w:type="dxa"/>
            <w:gridSpan w:val="6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</w:t>
            </w:r>
            <w:r>
              <w:rPr>
                <w:rFonts w:hint="eastAsia" w:ascii="Times New Roman" w:hAnsi="Times New Roman" w:cs="Times New Roman"/>
                <w:szCs w:val="21"/>
              </w:rPr>
              <w:t>比对</w:t>
            </w:r>
            <w:r>
              <w:rPr>
                <w:rFonts w:ascii="Times New Roman" w:hAnsi="Times New Roman" w:cs="Times New Roman"/>
                <w:szCs w:val="21"/>
              </w:rPr>
              <w:t>记录</w:t>
            </w:r>
          </w:p>
        </w:tc>
        <w:tc>
          <w:tcPr>
            <w:tcW w:w="5895" w:type="dxa"/>
            <w:gridSpan w:val="6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见附件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38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95" w:type="dxa"/>
            <w:gridSpan w:val="6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41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1．测量过程控制规范编制满足要求；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 测量过程要素如，测量设备、测量方法、环境条件、人员操作技能受控；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 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570A9B"/>
    <w:rsid w:val="499B1733"/>
    <w:rsid w:val="7B3A2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2020-11-26T02:01:35Z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