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drawing>
          <wp:inline distT="0" distB="0" distL="0" distR="0">
            <wp:extent cx="5274310" cy="7253605"/>
            <wp:effectExtent l="0" t="0" r="8890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19"/>
        <w:gridCol w:w="1334"/>
        <w:gridCol w:w="6"/>
        <w:gridCol w:w="567"/>
        <w:gridCol w:w="1242"/>
        <w:gridCol w:w="75"/>
        <w:gridCol w:w="101"/>
        <w:gridCol w:w="589"/>
        <w:gridCol w:w="261"/>
        <w:gridCol w:w="443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嘉兴跃枫管业有限公司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浙江省嘉兴市嘉善县天凝镇诚康路118号内1号厂房第5车间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季明跃</w:t>
            </w:r>
            <w:bookmarkEnd w:id="2"/>
          </w:p>
        </w:tc>
        <w:tc>
          <w:tcPr>
            <w:tcW w:w="13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0573-84951715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314100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季明跃</w:t>
            </w:r>
          </w:p>
        </w:tc>
        <w:tc>
          <w:tcPr>
            <w:tcW w:w="13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153158287@qq.com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0589-2019-EO-2020</w:t>
            </w:r>
            <w:bookmarkEnd w:id="8"/>
          </w:p>
        </w:tc>
        <w:tc>
          <w:tcPr>
            <w:tcW w:w="134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环境管理体系：第（1）次监督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职业健康安全管理体系：第（1）次监督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监督审核：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持续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E：聚乙烯管（塑钢缠绕管、缠绕结构壁管）的生产及其所涉及的环境管理活动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O：聚乙烯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管</w:t>
            </w:r>
            <w:r>
              <w:rPr>
                <w:b w:val="0"/>
                <w:bCs w:val="0"/>
                <w:sz w:val="21"/>
                <w:szCs w:val="21"/>
              </w:rPr>
              <w:t>（塑钢缠绕管、缠绕结构壁管）的生产及其所涉及的职业健康安全管理活动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Q：聚乙烯管（塑钢缠绕管、缠绕结构壁管）的生产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E：14.02.01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O：14.02.01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GB/T45001-2020/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ISO 45001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2018,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2020年12月08日 下午至2020年12月09日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O:14.02.01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Q:14.02.01</w:t>
            </w: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Q:14.02.01</w:t>
            </w: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75"/>
        <w:gridCol w:w="6788"/>
        <w:gridCol w:w="10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2020.12.8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2020.12.9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8:00-10:00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：组织的岗位、职责权限；目标、指标管理方案；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危险源识别评价；文件化信息；人员、组织知识；能力；意识；沟通；沟通参与和协商；运行策划和控制；应急准备和响应；法律法规要求；绩效的监视和测量；合规性评价；不合格及纠正措施；内部审核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9.1.3/9.2/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部：组织的岗位、职责权限；目标；监视和测量资源；标识和可追溯性；产品和服务的放行；不合格输出的控制；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5.3/6.2/7.1.5/8.5.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生产和服务提供的控制；产品防护；变更的控制；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Q5.3/6.2/7.1.3/7.1.4/8.1/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15:30-16:30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危险源识别评价；外部提供的过程、产品和服务的控制；运行控制；应急准备和响应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4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07FE1"/>
    <w:rsid w:val="15B1003E"/>
    <w:rsid w:val="1A275731"/>
    <w:rsid w:val="3E8734F3"/>
    <w:rsid w:val="7ABC4B52"/>
    <w:rsid w:val="7B156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2020-12-13T07:58:36Z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