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sz w:val="36"/>
          <w:szCs w:val="36"/>
        </w:rPr>
      </w:pPr>
      <w:r>
        <w:rPr>
          <w:rFonts w:hint="eastAsia" w:ascii="隶书" w:hAnsi="宋体" w:eastAsia="隶书"/>
          <w:bCs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受审核部门：管理层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总经理：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耿建飞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tab/>
            </w:r>
            <w:r>
              <w:rPr>
                <w:rFonts w:hint="eastAsia"/>
              </w:rPr>
              <w:t>管代：</w:t>
            </w:r>
            <w:r>
              <w:rPr>
                <w:rFonts w:hint="eastAsia" w:ascii="宋体" w:hAnsi="宋体" w:cs="宋体"/>
                <w:kern w:val="0"/>
                <w:szCs w:val="21"/>
              </w:rPr>
              <w:t>王宁宁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  张鹏                  审核时间： 20</w:t>
            </w:r>
            <w:r>
              <w:rPr>
                <w:sz w:val="24"/>
                <w:szCs w:val="24"/>
              </w:rPr>
              <w:t>20.11.28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地址（包括注册地址、生产/经营地址）、多场所地址等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营业执照、组织机构代码证、相关资质的有效性确认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管理体系运行起始日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确认组织实际与管理体系文件描述的一致性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组织机构（如部门设置和负责人，服务过程）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认证范围产品用途、顾客群等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执行的排污标准（EMS）顾客及相关方投诉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方针、目标、指标和方案情况</w:t>
            </w:r>
          </w:p>
          <w:p/>
          <w:p/>
          <w:p/>
          <w:p/>
          <w:p/>
          <w:p/>
          <w:p/>
          <w:p/>
          <w:p/>
          <w:p/>
          <w:p/>
          <w:p/>
          <w:p>
            <w:pPr>
              <w:pStyle w:val="2"/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合规性评价报告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环境相关监测报告（EMS、OHS）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不可接受危险</w:t>
            </w: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内审情况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环保、安全设施（EMS、OHS）</w:t>
            </w:r>
          </w:p>
          <w:p>
            <w:pPr>
              <w:spacing w:line="400" w:lineRule="exact"/>
            </w:pPr>
            <w:r>
              <w:rPr>
                <w:rFonts w:hint="eastAsia"/>
                <w:szCs w:val="21"/>
              </w:rPr>
              <w:t>环保\安全监测设备（EMS、OHS）</w:t>
            </w:r>
          </w:p>
        </w:tc>
        <w:tc>
          <w:tcPr>
            <w:tcW w:w="960" w:type="dxa"/>
          </w:tcPr>
          <w:p>
            <w:r>
              <w:rPr>
                <w:rFonts w:hint="eastAsia"/>
              </w:rPr>
              <w:t>QEO 4.1/4.3/4.4/5.2/6.2/9.2/9.3/7.1</w:t>
            </w:r>
          </w:p>
        </w:tc>
        <w:tc>
          <w:tcPr>
            <w:tcW w:w="10004" w:type="dxa"/>
          </w:tcPr>
          <w:p>
            <w:pPr>
              <w:rPr>
                <w:rFonts w:ascii="Arial" w:hAnsi="Arial" w:cs="Arial"/>
              </w:rPr>
            </w:pPr>
            <w:bookmarkStart w:id="0" w:name="组织名称"/>
            <w:r>
              <w:rPr>
                <w:rFonts w:ascii="Arial" w:hAnsi="Arial" w:cs="Arial"/>
              </w:rPr>
              <w:t>晋州市文轩泵业有限公司</w:t>
            </w:r>
            <w:bookmarkEnd w:id="0"/>
            <w:r>
              <w:rPr>
                <w:rFonts w:hint="eastAsia" w:ascii="Arial" w:hAnsi="Arial" w:cs="Arial"/>
              </w:rPr>
              <w:t>成立于20</w:t>
            </w:r>
            <w:r>
              <w:rPr>
                <w:rFonts w:ascii="Arial" w:hAnsi="Arial" w:cs="Arial"/>
              </w:rPr>
              <w:t>11</w:t>
            </w:r>
            <w:r>
              <w:rPr>
                <w:rFonts w:hint="eastAsia" w:ascii="Arial" w:hAnsi="Arial" w:cs="Arial"/>
              </w:rPr>
              <w:t xml:space="preserve"> 年</w:t>
            </w:r>
            <w:r>
              <w:rPr>
                <w:rStyle w:val="13"/>
              </w:rPr>
              <w:t>6</w:t>
            </w:r>
            <w:r>
              <w:rPr>
                <w:rStyle w:val="13"/>
                <w:rFonts w:hint="eastAsia"/>
              </w:rPr>
              <w:t>月2</w:t>
            </w:r>
            <w:r>
              <w:rPr>
                <w:rStyle w:val="13"/>
              </w:rPr>
              <w:t>7</w:t>
            </w:r>
            <w:r>
              <w:rPr>
                <w:rStyle w:val="13"/>
                <w:rFonts w:hint="eastAsia"/>
              </w:rPr>
              <w:t>日</w:t>
            </w:r>
            <w:r>
              <w:rPr>
                <w:rStyle w:val="13"/>
                <w:rFonts w:hint="eastAsia" w:ascii="Arial" w:hAnsi="Arial" w:cs="Arial"/>
              </w:rPr>
              <w:t>，营业期限：20</w:t>
            </w:r>
            <w:r>
              <w:rPr>
                <w:rStyle w:val="13"/>
                <w:rFonts w:ascii="Arial" w:hAnsi="Arial" w:cs="Arial"/>
              </w:rPr>
              <w:t>11</w:t>
            </w:r>
            <w:r>
              <w:rPr>
                <w:rStyle w:val="13"/>
                <w:rFonts w:hint="eastAsia" w:ascii="Arial" w:hAnsi="Arial" w:cs="Arial"/>
              </w:rPr>
              <w:t>年0</w:t>
            </w:r>
            <w:r>
              <w:rPr>
                <w:rStyle w:val="13"/>
                <w:rFonts w:ascii="Arial" w:hAnsi="Arial" w:cs="Arial"/>
              </w:rPr>
              <w:t>6</w:t>
            </w:r>
            <w:r>
              <w:rPr>
                <w:rStyle w:val="13"/>
                <w:rFonts w:hint="eastAsia" w:ascii="Arial" w:hAnsi="Arial" w:cs="Arial"/>
              </w:rPr>
              <w:t>月2</w:t>
            </w:r>
            <w:r>
              <w:rPr>
                <w:rStyle w:val="13"/>
                <w:rFonts w:ascii="Arial" w:hAnsi="Arial" w:cs="Arial"/>
              </w:rPr>
              <w:t>7</w:t>
            </w:r>
            <w:r>
              <w:rPr>
                <w:rStyle w:val="13"/>
                <w:rFonts w:hint="eastAsia" w:ascii="Arial" w:hAnsi="Arial" w:cs="Arial"/>
              </w:rPr>
              <w:t>日- 20</w:t>
            </w:r>
            <w:r>
              <w:rPr>
                <w:rStyle w:val="13"/>
                <w:rFonts w:ascii="Arial" w:hAnsi="Arial" w:cs="Arial"/>
              </w:rPr>
              <w:t>21</w:t>
            </w:r>
            <w:r>
              <w:rPr>
                <w:rStyle w:val="13"/>
                <w:rFonts w:hint="eastAsia" w:ascii="Arial" w:hAnsi="Arial" w:cs="Arial"/>
              </w:rPr>
              <w:t>年</w:t>
            </w:r>
            <w:r>
              <w:rPr>
                <w:rStyle w:val="13"/>
                <w:rFonts w:ascii="Arial" w:hAnsi="Arial" w:cs="Arial"/>
              </w:rPr>
              <w:t>12</w:t>
            </w:r>
            <w:r>
              <w:rPr>
                <w:rStyle w:val="13"/>
                <w:rFonts w:hint="eastAsia" w:ascii="Arial" w:hAnsi="Arial" w:cs="Arial"/>
              </w:rPr>
              <w:t>月</w:t>
            </w:r>
            <w:r>
              <w:rPr>
                <w:rStyle w:val="13"/>
                <w:rFonts w:ascii="Arial" w:hAnsi="Arial" w:cs="Arial"/>
              </w:rPr>
              <w:t>31</w:t>
            </w:r>
            <w:r>
              <w:rPr>
                <w:rStyle w:val="13"/>
                <w:rFonts w:hint="eastAsia" w:ascii="Arial" w:hAnsi="Arial" w:cs="Arial"/>
              </w:rPr>
              <w:t xml:space="preserve">日，注册资金： </w:t>
            </w:r>
            <w:r>
              <w:rPr>
                <w:rStyle w:val="13"/>
                <w:rFonts w:ascii="Arial" w:hAnsi="Arial" w:cs="Arial"/>
              </w:rPr>
              <w:t>30</w:t>
            </w:r>
            <w:r>
              <w:rPr>
                <w:rStyle w:val="13"/>
                <w:rFonts w:hint="eastAsia" w:ascii="Arial" w:hAnsi="Arial" w:cs="Arial"/>
              </w:rPr>
              <w:t>万，企业信用代码：91</w:t>
            </w:r>
            <w:r>
              <w:rPr>
                <w:rStyle w:val="13"/>
                <w:rFonts w:ascii="Arial" w:hAnsi="Arial" w:cs="Arial"/>
              </w:rPr>
              <w:t>130183578210899</w:t>
            </w:r>
            <w:r>
              <w:rPr>
                <w:rStyle w:val="13"/>
                <w:rFonts w:hint="eastAsia" w:ascii="Arial" w:hAnsi="Arial" w:cs="Arial"/>
              </w:rPr>
              <w:t>B，注册地址：河北省晋州市石家庄市晋州市南口，经营范围包括</w:t>
            </w:r>
            <w:r>
              <w:rPr>
                <w:rFonts w:hint="eastAsia" w:ascii="Arial" w:hAnsi="Arial" w:cs="Arial"/>
              </w:rPr>
              <w:t>水泵、机电设备、机械设备、机械配件加工销售等。</w:t>
            </w:r>
          </w:p>
          <w:p>
            <w:pPr>
              <w:rPr>
                <w:rStyle w:val="13"/>
                <w:rFonts w:ascii="Arial" w:hAnsi="Arial" w:cs="Arial"/>
                <w:shd w:val="clear" w:color="auto" w:fill="FFFFFF"/>
              </w:rPr>
            </w:pPr>
            <w:r>
              <w:rPr>
                <w:rStyle w:val="13"/>
              </w:rPr>
              <w:t> </w:t>
            </w:r>
            <w:r>
              <w:rPr>
                <w:rStyle w:val="13"/>
                <w:rFonts w:hint="eastAsia" w:ascii="Arial" w:hAnsi="Arial" w:cs="Arial"/>
                <w:shd w:val="clear" w:color="auto" w:fill="FFFFFF"/>
              </w:rPr>
              <w:t>公司的主要客户群为河北省的企业等；公司采用总经理负责制，层层把关，让用户真正放心</w:t>
            </w:r>
          </w:p>
          <w:p>
            <w:pPr>
              <w:spacing w:line="400" w:lineRule="exact"/>
              <w:rPr>
                <w:rStyle w:val="13"/>
                <w:rFonts w:ascii="Arial" w:hAnsi="Arial" w:cs="Arial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shd w:val="clear" w:color="auto" w:fill="FFFFFF"/>
              </w:rPr>
              <w:t>远程</w:t>
            </w:r>
            <w:r>
              <w:rPr>
                <w:rStyle w:val="13"/>
                <w:rFonts w:ascii="Arial" w:hAnsi="Arial" w:cs="Arial"/>
                <w:shd w:val="clear" w:color="auto" w:fill="FFFFFF"/>
              </w:rPr>
              <w:t>见到营业执照，见附件。</w:t>
            </w:r>
          </w:p>
          <w:p>
            <w:pPr>
              <w:spacing w:line="400" w:lineRule="exact"/>
              <w:rPr>
                <w:rStyle w:val="13"/>
              </w:rPr>
            </w:pPr>
            <w:r>
              <w:rPr>
                <w:rStyle w:val="13"/>
                <w:rFonts w:hint="eastAsia"/>
              </w:rPr>
              <w:t>受审核方建立的管理体系文件包括：</w:t>
            </w:r>
          </w:p>
          <w:p>
            <w:pPr>
              <w:spacing w:line="400" w:lineRule="exact"/>
              <w:rPr>
                <w:rStyle w:val="13"/>
              </w:rPr>
            </w:pPr>
            <w:r>
              <w:rPr>
                <w:rStyle w:val="13"/>
                <w:rFonts w:hint="eastAsia"/>
              </w:rPr>
              <w:t>1</w:t>
            </w:r>
            <w:r>
              <w:rPr>
                <w:rStyle w:val="13"/>
              </w:rPr>
              <w:t>.</w:t>
            </w:r>
            <w:r>
              <w:rPr>
                <w:rStyle w:val="13"/>
                <w:rFonts w:hint="eastAsia"/>
              </w:rPr>
              <w:t>管理手册WX-QESMS-2020</w:t>
            </w:r>
            <w:r>
              <w:rPr>
                <w:rStyle w:val="13"/>
              </w:rPr>
              <w:t xml:space="preserve"> A</w:t>
            </w:r>
            <w:r>
              <w:rPr>
                <w:rStyle w:val="13"/>
                <w:rFonts w:hint="eastAsia"/>
              </w:rPr>
              <w:t>版，发布时间：20</w:t>
            </w:r>
            <w:r>
              <w:rPr>
                <w:rStyle w:val="13"/>
              </w:rPr>
              <w:t>20</w:t>
            </w:r>
            <w:r>
              <w:rPr>
                <w:rStyle w:val="13"/>
                <w:rFonts w:hint="eastAsia"/>
              </w:rPr>
              <w:t>年</w:t>
            </w:r>
            <w:r>
              <w:rPr>
                <w:rStyle w:val="13"/>
              </w:rPr>
              <w:t>5</w:t>
            </w:r>
            <w:r>
              <w:rPr>
                <w:rStyle w:val="13"/>
                <w:rFonts w:hint="eastAsia"/>
              </w:rPr>
              <w:t>月</w:t>
            </w:r>
            <w:r>
              <w:rPr>
                <w:rStyle w:val="13"/>
              </w:rPr>
              <w:t>1</w:t>
            </w:r>
            <w:r>
              <w:rPr>
                <w:rStyle w:val="13"/>
                <w:rFonts w:hint="eastAsia"/>
              </w:rPr>
              <w:t>日    实施时间：20</w:t>
            </w:r>
            <w:r>
              <w:rPr>
                <w:rStyle w:val="13"/>
              </w:rPr>
              <w:t>20</w:t>
            </w:r>
            <w:r>
              <w:rPr>
                <w:rStyle w:val="13"/>
                <w:rFonts w:hint="eastAsia"/>
              </w:rPr>
              <w:t>年</w:t>
            </w:r>
            <w:r>
              <w:rPr>
                <w:rStyle w:val="13"/>
              </w:rPr>
              <w:t>5</w:t>
            </w:r>
            <w:r>
              <w:rPr>
                <w:rStyle w:val="13"/>
                <w:rFonts w:hint="eastAsia"/>
              </w:rPr>
              <w:t xml:space="preserve">月1日  </w:t>
            </w:r>
          </w:p>
          <w:p>
            <w:pPr>
              <w:spacing w:line="400" w:lineRule="exact"/>
              <w:rPr>
                <w:rStyle w:val="13"/>
              </w:rPr>
            </w:pPr>
            <w:r>
              <w:rPr>
                <w:rStyle w:val="13"/>
                <w:rFonts w:hint="eastAsia"/>
              </w:rPr>
              <w:t>2.程序文件WX/QESMS-CX-2020</w:t>
            </w:r>
            <w:r>
              <w:rPr>
                <w:rStyle w:val="13"/>
              </w:rPr>
              <w:t xml:space="preserve"> A</w:t>
            </w:r>
            <w:r>
              <w:rPr>
                <w:rStyle w:val="13"/>
                <w:rFonts w:hint="eastAsia"/>
              </w:rPr>
              <w:t>版含2</w:t>
            </w:r>
            <w:r>
              <w:rPr>
                <w:rStyle w:val="13"/>
              </w:rPr>
              <w:t>6</w:t>
            </w:r>
            <w:r>
              <w:rPr>
                <w:rStyle w:val="13"/>
                <w:rFonts w:hint="eastAsia"/>
              </w:rPr>
              <w:t>个文件，包括标准要求的形成文件的信息。</w:t>
            </w:r>
          </w:p>
          <w:p>
            <w:pPr>
              <w:spacing w:line="400" w:lineRule="exact"/>
              <w:rPr>
                <w:rStyle w:val="13"/>
              </w:rPr>
            </w:pPr>
            <w:r>
              <w:rPr>
                <w:rStyle w:val="13"/>
                <w:rFonts w:hint="eastAsia"/>
              </w:rPr>
              <w:t>3.管理制度汇编：无。</w:t>
            </w:r>
          </w:p>
          <w:p>
            <w:pPr>
              <w:spacing w:line="400" w:lineRule="exact"/>
              <w:rPr>
                <w:rStyle w:val="13"/>
              </w:rPr>
            </w:pPr>
            <w:r>
              <w:rPr>
                <w:rStyle w:val="13"/>
                <w:rFonts w:hint="eastAsia"/>
              </w:rPr>
              <w:t>4.体系运行所需要的文件和记录</w:t>
            </w:r>
          </w:p>
          <w:p>
            <w:pPr>
              <w:spacing w:line="400" w:lineRule="exact"/>
              <w:rPr>
                <w:rStyle w:val="13"/>
                <w:rFonts w:ascii="Arial" w:hAnsi="Arial" w:cs="Arial"/>
              </w:rPr>
            </w:pPr>
            <w:r>
              <w:rPr>
                <w:rStyle w:val="13"/>
                <w:rFonts w:hint="eastAsia" w:ascii="Arial" w:hAnsi="Arial" w:cs="Arial"/>
              </w:rPr>
              <w:t>远程视频查看，办公区面积约1</w:t>
            </w:r>
            <w:r>
              <w:rPr>
                <w:rStyle w:val="13"/>
                <w:rFonts w:ascii="Arial" w:hAnsi="Arial" w:cs="Arial"/>
              </w:rPr>
              <w:t>0</w:t>
            </w:r>
            <w:r>
              <w:rPr>
                <w:rStyle w:val="13"/>
                <w:rFonts w:hint="eastAsia" w:ascii="Arial" w:hAnsi="Arial" w:cs="Arial"/>
              </w:rPr>
              <w:t>0平米。</w:t>
            </w:r>
          </w:p>
          <w:p>
            <w:pPr>
              <w:rPr>
                <w:rStyle w:val="13"/>
                <w:rFonts w:ascii="Arial" w:hAnsi="Arial" w:cs="Arial"/>
              </w:rPr>
            </w:pPr>
            <w:r>
              <w:rPr>
                <w:rStyle w:val="13"/>
                <w:rFonts w:hint="eastAsia" w:ascii="Arial" w:hAnsi="Arial" w:cs="Arial"/>
              </w:rPr>
              <w:t>远程视频确认范围</w:t>
            </w:r>
          </w:p>
          <w:p>
            <w:pPr>
              <w:rPr>
                <w:rStyle w:val="13"/>
                <w:rFonts w:ascii="Arial" w:hAnsi="Arial" w:cs="Arial"/>
              </w:rPr>
            </w:pPr>
            <w:bookmarkStart w:id="1" w:name="审核范围"/>
            <w:r>
              <w:rPr>
                <w:rStyle w:val="13"/>
                <w:rFonts w:ascii="Arial" w:hAnsi="Arial" w:cs="Arial"/>
              </w:rPr>
              <w:t>Q：水泵的销售</w:t>
            </w:r>
          </w:p>
          <w:p>
            <w:pPr>
              <w:rPr>
                <w:rStyle w:val="13"/>
                <w:rFonts w:ascii="Arial" w:hAnsi="Arial" w:cs="Arial"/>
              </w:rPr>
            </w:pPr>
            <w:r>
              <w:rPr>
                <w:rStyle w:val="13"/>
                <w:rFonts w:ascii="Arial" w:hAnsi="Arial" w:cs="Arial"/>
              </w:rPr>
              <w:t>E：水泵的销售所涉及场所的相关环境管理活动</w:t>
            </w:r>
          </w:p>
          <w:p>
            <w:pPr>
              <w:spacing w:line="360" w:lineRule="auto"/>
              <w:rPr>
                <w:rStyle w:val="13"/>
                <w:rFonts w:ascii="Arial" w:hAnsi="Arial" w:cs="Arial"/>
              </w:rPr>
            </w:pPr>
            <w:r>
              <w:rPr>
                <w:rStyle w:val="13"/>
                <w:rFonts w:ascii="Arial" w:hAnsi="Arial" w:cs="Arial"/>
              </w:rPr>
              <w:t>O：水泵的销售所涉及场所的相关职业健康安全管理活动</w:t>
            </w:r>
            <w:bookmarkEnd w:id="1"/>
          </w:p>
          <w:p>
            <w:pPr>
              <w:spacing w:line="360" w:lineRule="auto"/>
              <w:rPr>
                <w:rStyle w:val="13"/>
              </w:rPr>
            </w:pPr>
            <w:r>
              <w:rPr>
                <w:rStyle w:val="13"/>
                <w:rFonts w:hint="eastAsia"/>
              </w:rPr>
              <w:t>不适用条款</w:t>
            </w:r>
            <w:r>
              <w:rPr>
                <w:rStyle w:val="13"/>
              </w:rPr>
              <w:t>QMS</w:t>
            </w:r>
            <w:r>
              <w:rPr>
                <w:rStyle w:val="13"/>
                <w:rFonts w:hint="eastAsia"/>
              </w:rPr>
              <w:t>：8</w:t>
            </w:r>
            <w:r>
              <w:rPr>
                <w:rStyle w:val="13"/>
              </w:rPr>
              <w:t>.3</w:t>
            </w:r>
          </w:p>
          <w:p>
            <w:pPr>
              <w:spacing w:line="360" w:lineRule="auto"/>
              <w:rPr>
                <w:rStyle w:val="13"/>
              </w:rPr>
            </w:pPr>
            <w:r>
              <w:rPr>
                <w:rStyle w:val="13"/>
                <w:rFonts w:hint="eastAsia"/>
              </w:rPr>
              <w:t>根据公司产品和服务特点，产品依据国标、行业标准、客户要求进行销售，销售模式固定，无设计开发要求，故不适用GB/T19001-2016标准的8.3条款，但不影响组织确保其产品和服务合格的能力或责任，对增强顾客满意也不会产生影响。</w:t>
            </w:r>
          </w:p>
          <w:p>
            <w:pPr>
              <w:spacing w:line="360" w:lineRule="auto"/>
              <w:rPr>
                <w:rStyle w:val="13"/>
                <w:rFonts w:ascii="Arial" w:hAnsi="Arial" w:cs="Arial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shd w:val="clear" w:color="auto" w:fill="FFFFFF"/>
              </w:rPr>
              <w:t>组织机构：办公室、</w:t>
            </w:r>
            <w:r>
              <w:rPr>
                <w:rStyle w:val="13"/>
                <w:rFonts w:hint="eastAsia" w:ascii="Arial" w:hAnsi="Arial" w:cs="Arial"/>
                <w:shd w:val="clear" w:color="auto" w:fill="FFFFFF"/>
                <w:lang w:val="en-US" w:eastAsia="zh-CN"/>
              </w:rPr>
              <w:t>供销</w:t>
            </w:r>
            <w:r>
              <w:rPr>
                <w:rStyle w:val="13"/>
                <w:rFonts w:hint="eastAsia" w:ascii="Arial" w:hAnsi="Arial" w:cs="Arial"/>
                <w:shd w:val="clear" w:color="auto" w:fill="FFFFFF"/>
              </w:rPr>
              <w:t>部。</w:t>
            </w:r>
          </w:p>
          <w:p>
            <w:pPr>
              <w:rPr>
                <w:rStyle w:val="13"/>
                <w:rFonts w:ascii="Arial" w:hAnsi="Arial" w:cs="Arial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shd w:val="clear" w:color="auto" w:fill="FFFFFF"/>
              </w:rPr>
              <w:t>实现流程为：</w:t>
            </w:r>
          </w:p>
          <w:p>
            <w:pPr>
              <w:tabs>
                <w:tab w:val="left" w:pos="900"/>
              </w:tabs>
              <w:spacing w:line="360" w:lineRule="auto"/>
              <w:jc w:val="left"/>
              <w:rPr>
                <w:rFonts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销售服务实现流程：</w:t>
            </w:r>
          </w:p>
          <w:p>
            <w:pPr>
              <w:tabs>
                <w:tab w:val="left" w:pos="900"/>
              </w:tabs>
              <w:spacing w:line="360" w:lineRule="auto"/>
              <w:jc w:val="left"/>
              <w:rPr>
                <w:rFonts w:ascii="华文中宋" w:hAnsi="华文中宋" w:eastAsia="华文中宋"/>
                <w:szCs w:val="21"/>
              </w:rPr>
            </w:pPr>
          </w:p>
          <w:p>
            <w:pPr>
              <w:tabs>
                <w:tab w:val="left" w:pos="900"/>
              </w:tabs>
              <w:spacing w:line="360" w:lineRule="auto"/>
              <w:jc w:val="left"/>
              <w:rPr>
                <w:rFonts w:ascii="华文中宋" w:hAnsi="华文中宋" w:eastAsia="华文中宋"/>
                <w:b/>
                <w:szCs w:val="21"/>
              </w:rPr>
            </w:pPr>
            <w:r>
              <w:rPr>
                <w:rFonts w:hint="eastAsia" w:ascii="华文中宋" w:hAnsi="华文中宋" w:eastAsia="华文中宋"/>
                <w:b/>
                <w:szCs w:val="21"/>
              </w:rPr>
              <w:t>业务洽谈→合同签订→产品采购→发货至顾客指定地址→验收→结算</w:t>
            </w: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3"/>
                <w:rFonts w:ascii="Arial" w:hAnsi="Arial" w:cs="Arial"/>
                <w:sz w:val="21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3"/>
                <w:rFonts w:ascii="Arial" w:hAnsi="Arial" w:cs="Arial"/>
                <w:sz w:val="21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3"/>
                <w:rFonts w:ascii="Arial" w:hAnsi="Arial" w:cs="Arial"/>
                <w:sz w:val="21"/>
                <w:szCs w:val="20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sz w:val="21"/>
                <w:szCs w:val="20"/>
                <w:shd w:val="clear" w:color="auto" w:fill="FFFFFF"/>
              </w:rPr>
              <w:t>提供了环境及职业健康安全的法律、法规和其他要求清单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3"/>
                <w:rFonts w:ascii="Arial" w:hAnsi="Arial" w:cs="Arial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3"/>
                <w:rFonts w:ascii="Arial" w:hAnsi="Arial" w:cs="Arial"/>
                <w:szCs w:val="20"/>
                <w:shd w:val="clear" w:color="auto" w:fill="FFFFFF"/>
              </w:rPr>
            </w:pPr>
          </w:p>
          <w:p>
            <w:pPr>
              <w:rPr>
                <w:rStyle w:val="13"/>
                <w:rFonts w:ascii="Arial" w:hAnsi="Arial" w:cs="Arial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shd w:val="clear" w:color="auto" w:fill="FFFFFF"/>
              </w:rPr>
              <w:t>提供《适用的法律法规清单》、提供了《外来文件情况清单》，外来文件清单中，提供与“</w:t>
            </w:r>
            <w:r>
              <w:rPr>
                <w:sz w:val="20"/>
              </w:rPr>
              <w:t>水泵的销售</w:t>
            </w:r>
            <w:r>
              <w:rPr>
                <w:rStyle w:val="13"/>
                <w:rFonts w:hint="eastAsia" w:ascii="Arial" w:hAnsi="Arial" w:cs="Arial"/>
                <w:shd w:val="clear" w:color="auto" w:fill="FFFFFF"/>
              </w:rPr>
              <w:t>”相关的标准</w:t>
            </w:r>
          </w:p>
          <w:p>
            <w:pPr>
              <w:rPr>
                <w:rStyle w:val="13"/>
                <w:rFonts w:ascii="Arial" w:hAnsi="Arial" w:cs="Arial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shd w:val="clear" w:color="auto" w:fill="FFFFFF"/>
              </w:rPr>
              <w:t>不需要环评报告。</w:t>
            </w:r>
          </w:p>
          <w:p>
            <w:pPr>
              <w:rPr>
                <w:rStyle w:val="13"/>
                <w:rFonts w:ascii="Arial" w:hAnsi="Arial" w:cs="Arial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shd w:val="clear" w:color="auto" w:fill="FFFFFF"/>
              </w:rPr>
              <w:t>相关方投诉情况：无。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3"/>
                <w:rFonts w:ascii="Arial" w:hAnsi="Arial" w:cs="Arial"/>
                <w:sz w:val="21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3"/>
                <w:rFonts w:ascii="Arial" w:hAnsi="Arial" w:cs="Arial"/>
                <w:sz w:val="21"/>
                <w:szCs w:val="20"/>
                <w:shd w:val="clear" w:color="auto" w:fill="FFFFFF"/>
              </w:rPr>
            </w:pPr>
          </w:p>
          <w:p>
            <w:pPr>
              <w:spacing w:line="440" w:lineRule="exact"/>
              <w:rPr>
                <w:rStyle w:val="13"/>
                <w:rFonts w:ascii="Arial" w:hAnsi="Arial" w:cs="Arial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shd w:val="clear" w:color="auto" w:fill="FFFFFF"/>
              </w:rPr>
              <w:t>公司的质量、环境和职业健康安全的方针：</w:t>
            </w:r>
          </w:p>
          <w:p>
            <w:pPr>
              <w:spacing w:line="440" w:lineRule="exact"/>
              <w:rPr>
                <w:rStyle w:val="13"/>
                <w:rFonts w:ascii="Arial" w:hAnsi="Arial" w:cs="Arial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shd w:val="clear" w:color="auto" w:fill="FFFFFF"/>
              </w:rPr>
              <w:t>管理方针是：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华文中宋" w:hAnsi="华文中宋" w:eastAsia="华文中宋" w:cs="宋体"/>
                <w:b/>
                <w:bCs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</w:rPr>
              <w:t>坚持产品质量第一，确保增进顾客满意；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华文中宋" w:hAnsi="华文中宋" w:eastAsia="华文中宋" w:cs="宋体"/>
                <w:b/>
                <w:bCs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</w:rPr>
              <w:t>坚持遵守法律法规，实现环保安全目标；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3"/>
                <w:rFonts w:ascii="Arial" w:hAnsi="Arial" w:cs="Arial"/>
                <w:sz w:val="21"/>
                <w:szCs w:val="20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sz w:val="21"/>
                <w:szCs w:val="20"/>
              </w:rPr>
              <w:t>规范企业经营管理，持续改进管理体系。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3"/>
                <w:rFonts w:ascii="Arial" w:hAnsi="Arial" w:cs="Arial"/>
                <w:sz w:val="21"/>
                <w:szCs w:val="20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sz w:val="21"/>
                <w:szCs w:val="20"/>
                <w:shd w:val="clear" w:color="auto" w:fill="FFFFFF"/>
              </w:rPr>
              <w:t>制定了本公司的质量、环境和安全的目标为：</w:t>
            </w:r>
          </w:p>
          <w:p>
            <w:pPr>
              <w:ind w:firstLine="1265" w:firstLineChars="600"/>
              <w:rPr>
                <w:rFonts w:hint="eastAsia" w:ascii="Arial" w:hAnsi="Arial" w:cs="Arial"/>
                <w:b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shd w:val="clear" w:color="auto" w:fill="FFFFFF"/>
              </w:rPr>
              <w:t>质量目标</w:t>
            </w:r>
          </w:p>
          <w:p>
            <w:pPr>
              <w:ind w:firstLine="1260" w:firstLineChars="600"/>
              <w:rPr>
                <w:rFonts w:hint="eastAsia" w:ascii="Arial" w:hAnsi="Arial" w:cs="Arial"/>
                <w:bCs/>
                <w:shd w:val="clear" w:color="auto" w:fill="FFFFFF"/>
              </w:rPr>
            </w:pPr>
            <w:r>
              <w:rPr>
                <w:rFonts w:hint="eastAsia" w:ascii="Arial" w:hAnsi="Arial" w:cs="Arial"/>
                <w:bCs/>
                <w:shd w:val="clear" w:color="auto" w:fill="FFFFFF"/>
              </w:rPr>
              <w:t>1、</w:t>
            </w:r>
            <w:r>
              <w:rPr>
                <w:rFonts w:hint="eastAsia" w:ascii="Times New Roman" w:hAnsi="Times New Roman" w:cs="宋体"/>
                <w:lang w:eastAsia="zh-CN"/>
              </w:rPr>
              <w:t>产品交付检验合格率100%</w:t>
            </w:r>
            <w:r>
              <w:rPr>
                <w:rFonts w:hint="eastAsia" w:ascii="Arial" w:hAnsi="Arial" w:cs="Arial"/>
                <w:bCs/>
                <w:shd w:val="clear" w:color="auto" w:fill="FFFFFF"/>
              </w:rPr>
              <w:t>；</w:t>
            </w:r>
          </w:p>
          <w:p>
            <w:pPr>
              <w:ind w:firstLine="1260" w:firstLineChars="600"/>
              <w:rPr>
                <w:rFonts w:hint="eastAsia" w:ascii="Arial" w:hAnsi="Arial" w:cs="Arial"/>
                <w:b/>
                <w:shd w:val="clear" w:color="auto" w:fill="FFFFFF"/>
              </w:rPr>
            </w:pPr>
            <w:r>
              <w:rPr>
                <w:rFonts w:hint="eastAsia" w:ascii="Arial" w:hAnsi="Arial" w:cs="Arial"/>
                <w:shd w:val="clear" w:color="auto" w:fill="FFFFFF"/>
              </w:rPr>
              <w:t>2、顾客满意率≥90%</w:t>
            </w:r>
          </w:p>
          <w:p>
            <w:pPr>
              <w:ind w:firstLine="1265" w:firstLineChars="600"/>
              <w:rPr>
                <w:rFonts w:hint="eastAsia" w:ascii="Arial" w:hAnsi="Arial" w:cs="Arial"/>
                <w:b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shd w:val="clear" w:color="auto" w:fill="FFFFFF"/>
              </w:rPr>
              <w:t>环境目标</w:t>
            </w:r>
          </w:p>
          <w:p>
            <w:pPr>
              <w:ind w:firstLine="1260" w:firstLineChars="600"/>
              <w:rPr>
                <w:rFonts w:hint="eastAsia" w:ascii="Arial" w:hAnsi="Arial" w:cs="Arial"/>
                <w:shd w:val="clear" w:color="auto" w:fill="FFFFFF"/>
              </w:rPr>
            </w:pPr>
            <w:r>
              <w:rPr>
                <w:rFonts w:hint="eastAsia" w:ascii="Arial" w:hAnsi="Arial" w:cs="Arial"/>
                <w:shd w:val="clear" w:color="auto" w:fill="FFFFFF"/>
              </w:rPr>
              <w:t>1、固体废弃物分类回收率100%；</w:t>
            </w:r>
          </w:p>
          <w:p>
            <w:pPr>
              <w:ind w:firstLine="1260" w:firstLineChars="600"/>
              <w:rPr>
                <w:rFonts w:hint="eastAsia" w:ascii="Arial" w:hAnsi="Arial" w:cs="Arial"/>
                <w:shd w:val="clear" w:color="auto" w:fill="FFFFFF"/>
              </w:rPr>
            </w:pPr>
            <w:r>
              <w:rPr>
                <w:rFonts w:hint="eastAsia" w:ascii="Arial" w:hAnsi="Arial" w:cs="Arial"/>
                <w:shd w:val="clear" w:color="auto" w:fill="FFFFFF"/>
              </w:rPr>
              <w:t>2、杜绝火灾事故发生。</w:t>
            </w:r>
          </w:p>
          <w:p>
            <w:pPr>
              <w:ind w:firstLine="1265" w:firstLineChars="600"/>
              <w:rPr>
                <w:rFonts w:hint="eastAsia" w:ascii="Arial" w:hAnsi="Arial" w:cs="Arial"/>
                <w:b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shd w:val="clear" w:color="auto" w:fill="FFFFFF"/>
              </w:rPr>
              <w:t>职业健康安全目标</w:t>
            </w:r>
          </w:p>
          <w:p>
            <w:pPr>
              <w:ind w:firstLine="1260" w:firstLineChars="600"/>
              <w:rPr>
                <w:rFonts w:hint="eastAsia" w:ascii="Arial" w:hAnsi="Arial" w:cs="Arial"/>
                <w:shd w:val="clear" w:color="auto" w:fill="FFFFFF"/>
              </w:rPr>
            </w:pPr>
            <w:r>
              <w:rPr>
                <w:rFonts w:hint="eastAsia" w:ascii="Arial" w:hAnsi="Arial" w:cs="Arial"/>
                <w:shd w:val="clear" w:color="auto" w:fill="FFFFFF"/>
              </w:rPr>
              <w:t>1、杜绝火灾事故发生；</w:t>
            </w:r>
          </w:p>
          <w:p>
            <w:pPr>
              <w:ind w:firstLine="1260" w:firstLineChars="600"/>
              <w:rPr>
                <w:rFonts w:hint="eastAsia" w:ascii="Arial" w:hAnsi="Arial" w:cs="Arial"/>
                <w:shd w:val="clear" w:color="auto" w:fill="FFFFFF"/>
              </w:rPr>
            </w:pPr>
            <w:r>
              <w:rPr>
                <w:rFonts w:hint="eastAsia" w:ascii="Arial" w:hAnsi="Arial" w:cs="Arial"/>
                <w:shd w:val="clear" w:color="auto" w:fill="FFFFFF"/>
              </w:rPr>
              <w:t>2、杜绝死亡及重大安全事故发生。</w:t>
            </w:r>
          </w:p>
          <w:p>
            <w:pPr>
              <w:ind w:firstLine="1260" w:firstLineChars="600"/>
              <w:rPr>
                <w:rFonts w:hint="eastAsia" w:ascii="Arial" w:hAnsi="Arial" w:cs="Arial"/>
                <w:shd w:val="clear" w:color="auto" w:fill="FFFFFF"/>
              </w:rPr>
            </w:pPr>
            <w:r>
              <w:rPr>
                <w:rFonts w:hint="eastAsia" w:ascii="Arial" w:hAnsi="Arial" w:cs="Arial"/>
                <w:shd w:val="clear" w:color="auto" w:fill="FFFFFF"/>
              </w:rPr>
              <w:t>3、轻伤事故少于3起/年。</w:t>
            </w:r>
          </w:p>
          <w:p>
            <w:pPr>
              <w:autoSpaceDE w:val="0"/>
              <w:autoSpaceDN w:val="0"/>
              <w:adjustRightInd w:val="0"/>
              <w:ind w:firstLine="1260" w:firstLineChars="600"/>
              <w:rPr>
                <w:rFonts w:hAnsi="宋体" w:cs="宋体"/>
                <w:kern w:val="0"/>
              </w:rPr>
            </w:pPr>
          </w:p>
          <w:p>
            <w:pPr>
              <w:spacing w:line="440" w:lineRule="exact"/>
              <w:rPr>
                <w:rStyle w:val="13"/>
                <w:rFonts w:ascii="Arial" w:hAnsi="Arial" w:cs="Arial"/>
                <w:shd w:val="clear" w:color="auto" w:fill="FFFFFF"/>
              </w:rPr>
            </w:pPr>
          </w:p>
          <w:p>
            <w:pPr>
              <w:pStyle w:val="2"/>
              <w:rPr>
                <w:rStyle w:val="13"/>
                <w:rFonts w:ascii="Arial" w:hAnsi="Arial" w:cs="Arial"/>
                <w:bCs w:val="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3"/>
                <w:rFonts w:ascii="Arial" w:hAnsi="Arial" w:cs="Arial"/>
                <w:sz w:val="21"/>
                <w:szCs w:val="20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sz w:val="21"/>
                <w:szCs w:val="20"/>
                <w:shd w:val="clear" w:color="auto" w:fill="FFFFFF"/>
              </w:rPr>
              <w:t>提供了本公司的环境和安全管理方案和控制措施，有编制人、审批人签字，二阶段进行进一步关注</w:t>
            </w:r>
          </w:p>
          <w:p>
            <w:pPr>
              <w:rPr>
                <w:rStyle w:val="13"/>
                <w:rFonts w:ascii="Arial" w:hAnsi="Arial" w:cs="Arial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3"/>
                <w:rFonts w:ascii="Arial" w:hAnsi="Arial" w:cs="Arial"/>
                <w:sz w:val="21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3"/>
                <w:rFonts w:ascii="Arial" w:hAnsi="Arial" w:cs="Arial"/>
                <w:sz w:val="21"/>
                <w:szCs w:val="20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sz w:val="21"/>
                <w:szCs w:val="20"/>
                <w:shd w:val="clear" w:color="auto" w:fill="FFFFFF"/>
              </w:rPr>
              <w:t>20</w:t>
            </w:r>
            <w:r>
              <w:rPr>
                <w:rStyle w:val="13"/>
                <w:rFonts w:ascii="Arial" w:hAnsi="Arial" w:cs="Arial"/>
                <w:sz w:val="21"/>
                <w:szCs w:val="20"/>
                <w:shd w:val="clear" w:color="auto" w:fill="FFFFFF"/>
              </w:rPr>
              <w:t>20</w:t>
            </w:r>
            <w:r>
              <w:rPr>
                <w:rStyle w:val="13"/>
                <w:rFonts w:hint="eastAsia" w:ascii="Arial" w:hAnsi="Arial" w:cs="Arial"/>
                <w:sz w:val="21"/>
                <w:szCs w:val="20"/>
                <w:shd w:val="clear" w:color="auto" w:fill="FFFFFF"/>
              </w:rPr>
              <w:t>年</w:t>
            </w:r>
            <w:r>
              <w:rPr>
                <w:rStyle w:val="13"/>
                <w:rFonts w:ascii="Arial" w:hAnsi="Arial" w:cs="Arial"/>
                <w:sz w:val="21"/>
                <w:szCs w:val="20"/>
                <w:shd w:val="clear" w:color="auto" w:fill="FFFFFF"/>
              </w:rPr>
              <w:t>5</w:t>
            </w:r>
            <w:r>
              <w:rPr>
                <w:rStyle w:val="13"/>
                <w:rFonts w:hint="eastAsia" w:ascii="Arial" w:hAnsi="Arial" w:cs="Arial"/>
                <w:sz w:val="21"/>
                <w:szCs w:val="20"/>
                <w:shd w:val="clear" w:color="auto" w:fill="FFFFFF"/>
              </w:rPr>
              <w:t>月</w:t>
            </w:r>
            <w:r>
              <w:rPr>
                <w:rStyle w:val="13"/>
                <w:rFonts w:ascii="Arial" w:hAnsi="Arial" w:cs="Arial"/>
                <w:sz w:val="21"/>
                <w:szCs w:val="20"/>
                <w:shd w:val="clear" w:color="auto" w:fill="FFFFFF"/>
              </w:rPr>
              <w:t>15</w:t>
            </w:r>
            <w:r>
              <w:rPr>
                <w:rStyle w:val="13"/>
                <w:rFonts w:hint="eastAsia" w:ascii="Arial" w:hAnsi="Arial" w:cs="Arial"/>
                <w:sz w:val="21"/>
                <w:szCs w:val="20"/>
                <w:shd w:val="clear" w:color="auto" w:fill="FFFFFF"/>
              </w:rPr>
              <w:t>日针对OHS和EMS对适用的法律法规符合性进行了评价，提供了20</w:t>
            </w:r>
            <w:r>
              <w:rPr>
                <w:rStyle w:val="13"/>
                <w:rFonts w:ascii="Arial" w:hAnsi="Arial" w:cs="Arial"/>
                <w:sz w:val="21"/>
                <w:szCs w:val="20"/>
                <w:shd w:val="clear" w:color="auto" w:fill="FFFFFF"/>
              </w:rPr>
              <w:t>20</w:t>
            </w:r>
            <w:r>
              <w:rPr>
                <w:rStyle w:val="13"/>
                <w:rFonts w:hint="eastAsia" w:ascii="Arial" w:hAnsi="Arial" w:cs="Arial"/>
                <w:sz w:val="21"/>
                <w:szCs w:val="20"/>
                <w:shd w:val="clear" w:color="auto" w:fill="FFFFFF"/>
              </w:rPr>
              <w:t>年合规性评价记录。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3"/>
                <w:rFonts w:ascii="Arial" w:hAnsi="Arial" w:cs="Arial"/>
                <w:sz w:val="21"/>
                <w:szCs w:val="20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sz w:val="21"/>
                <w:szCs w:val="20"/>
                <w:shd w:val="clear" w:color="auto" w:fill="FFFFFF"/>
              </w:rPr>
              <w:t>无需环境、职业健康安全相关监测报告（EMS、OHS）。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left" w:pos="5737"/>
                <w:tab w:val="clear" w:pos="4153"/>
                <w:tab w:val="clear" w:pos="8306"/>
              </w:tabs>
              <w:jc w:val="left"/>
              <w:rPr>
                <w:rStyle w:val="13"/>
                <w:rFonts w:ascii="Arial" w:hAnsi="Arial" w:cs="Arial"/>
                <w:sz w:val="21"/>
                <w:szCs w:val="20"/>
                <w:shd w:val="clear" w:color="auto" w:fill="FFFFFF"/>
              </w:rPr>
            </w:pPr>
            <w:r>
              <w:rPr>
                <w:rStyle w:val="13"/>
                <w:rFonts w:ascii="Arial" w:hAnsi="Arial" w:cs="Arial"/>
                <w:sz w:val="21"/>
                <w:szCs w:val="20"/>
                <w:shd w:val="clear" w:color="auto" w:fill="FFFFFF"/>
              </w:rPr>
              <w:tab/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3"/>
                <w:rFonts w:ascii="Arial" w:hAnsi="Arial" w:cs="Arial"/>
                <w:sz w:val="21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3"/>
                <w:rFonts w:ascii="Arial" w:hAnsi="Arial" w:cs="Arial"/>
                <w:sz w:val="21"/>
                <w:szCs w:val="20"/>
                <w:shd w:val="clear" w:color="auto" w:fill="FFFFFF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Style w:val="13"/>
                <w:rFonts w:ascii="Arial" w:hAnsi="Arial" w:cs="Arial"/>
                <w:sz w:val="21"/>
                <w:szCs w:val="20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sz w:val="21"/>
                <w:szCs w:val="20"/>
                <w:shd w:val="clear" w:color="auto" w:fill="FFFFFF"/>
              </w:rPr>
              <w:t>提供了“重要环境因素清单”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 意外发生火灾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 固体废弃物</w:t>
            </w:r>
          </w:p>
          <w:p>
            <w:pPr>
              <w:pStyle w:val="2"/>
              <w:rPr>
                <w:rFonts w:hint="eastAsia" w:ascii="仿宋_GB2312" w:eastAsia="仿宋_GB2312"/>
                <w:bCs w:val="0"/>
                <w:spacing w:val="0"/>
                <w:sz w:val="24"/>
              </w:rPr>
            </w:pPr>
            <w:r>
              <w:rPr>
                <w:rFonts w:hint="eastAsia" w:ascii="仿宋_GB2312" w:eastAsia="仿宋_GB2312"/>
                <w:bCs w:val="0"/>
                <w:spacing w:val="0"/>
                <w:sz w:val="24"/>
              </w:rPr>
              <w:t>3</w:t>
            </w:r>
            <w:r>
              <w:rPr>
                <w:rFonts w:ascii="仿宋_GB2312" w:eastAsia="仿宋_GB2312"/>
                <w:bCs w:val="0"/>
                <w:spacing w:val="0"/>
                <w:sz w:val="24"/>
              </w:rPr>
              <w:t>.</w:t>
            </w:r>
            <w:r>
              <w:rPr>
                <w:rFonts w:hint="eastAsia" w:ascii="仿宋_GB2312" w:eastAsia="仿宋_GB2312"/>
                <w:bCs w:val="0"/>
                <w:spacing w:val="0"/>
                <w:sz w:val="24"/>
              </w:rPr>
              <w:t>电能的消耗</w:t>
            </w:r>
          </w:p>
          <w:p>
            <w:pPr>
              <w:rPr>
                <w:rStyle w:val="13"/>
                <w:rFonts w:ascii="Arial" w:hAnsi="Arial" w:cs="Arial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shd w:val="clear" w:color="auto" w:fill="FFFFFF"/>
              </w:rPr>
              <w:t>提供了“不可接受风险清单”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ascii="Arial" w:hAnsi="Arial" w:cs="Arial"/>
                <w:bCs w:val="0"/>
                <w:spacing w:val="0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</w:rPr>
              <w:t>潜在火灾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ascii="Arial" w:hAnsi="Arial" w:cs="Arial"/>
                <w:bCs w:val="0"/>
                <w:spacing w:val="0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</w:rPr>
              <w:t>触电</w:t>
            </w:r>
          </w:p>
          <w:p>
            <w:pPr>
              <w:pStyle w:val="2"/>
              <w:numPr>
                <w:ilvl w:val="0"/>
                <w:numId w:val="1"/>
              </w:numPr>
              <w:rPr>
                <w:rStyle w:val="13"/>
                <w:rFonts w:ascii="Arial" w:hAnsi="Arial" w:cs="Arial"/>
                <w:bCs w:val="0"/>
                <w:spacing w:val="0"/>
                <w:shd w:val="clear" w:color="auto" w:fill="FFFFFF"/>
              </w:rPr>
            </w:pPr>
            <w:r>
              <w:rPr>
                <w:rFonts w:hint="eastAsia" w:ascii="宋体" w:hAnsi="宋体"/>
                <w:sz w:val="24"/>
              </w:rPr>
              <w:t>职业病</w:t>
            </w:r>
          </w:p>
          <w:p>
            <w:pPr>
              <w:rPr>
                <w:rStyle w:val="13"/>
                <w:rFonts w:ascii="Arial" w:hAnsi="Arial" w:cs="Arial"/>
                <w:shd w:val="clear" w:color="auto" w:fill="FFFFFF"/>
              </w:rPr>
            </w:pPr>
          </w:p>
          <w:p>
            <w:pPr>
              <w:pStyle w:val="2"/>
              <w:rPr>
                <w:rStyle w:val="13"/>
                <w:rFonts w:ascii="Arial" w:hAnsi="Arial" w:cs="Arial"/>
                <w:bCs w:val="0"/>
                <w:spacing w:val="0"/>
                <w:shd w:val="clear" w:color="auto" w:fill="FFFFFF"/>
              </w:rPr>
            </w:pPr>
          </w:p>
          <w:p>
            <w:pPr>
              <w:pStyle w:val="2"/>
            </w:pPr>
          </w:p>
          <w:p>
            <w:pPr>
              <w:rPr>
                <w:rStyle w:val="13"/>
                <w:rFonts w:ascii="Arial" w:hAnsi="Arial" w:cs="Arial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shd w:val="clear" w:color="auto" w:fill="FFFFFF"/>
              </w:rPr>
              <w:t>公司于20</w:t>
            </w:r>
            <w:r>
              <w:rPr>
                <w:rStyle w:val="13"/>
                <w:rFonts w:ascii="Arial" w:hAnsi="Arial" w:cs="Arial"/>
                <w:shd w:val="clear" w:color="auto" w:fill="FFFFFF"/>
              </w:rPr>
              <w:t>20.9.15-9.16</w:t>
            </w:r>
            <w:r>
              <w:rPr>
                <w:rStyle w:val="13"/>
                <w:rFonts w:hint="eastAsia" w:ascii="Arial" w:hAnsi="Arial" w:cs="Arial"/>
                <w:shd w:val="clear" w:color="auto" w:fill="FFFFFF"/>
              </w:rPr>
              <w:t>进行一次内审，提供了内审计划、内审记录、不符合报告、内审报告等，发现了1项不符合项，具体内容，二阶段进一步审核。</w:t>
            </w:r>
          </w:p>
          <w:p>
            <w:pPr>
              <w:rPr>
                <w:rStyle w:val="13"/>
                <w:rFonts w:ascii="Arial" w:hAnsi="Arial" w:cs="Arial"/>
                <w:shd w:val="clear" w:color="auto" w:fill="FFFFFF"/>
              </w:rPr>
            </w:pPr>
          </w:p>
          <w:p>
            <w:pPr>
              <w:pStyle w:val="2"/>
              <w:rPr>
                <w:rStyle w:val="13"/>
                <w:rFonts w:ascii="Arial" w:hAnsi="Arial" w:cs="Arial"/>
                <w:bCs w:val="0"/>
                <w:spacing w:val="0"/>
                <w:shd w:val="clear" w:color="auto" w:fill="FFFFFF"/>
              </w:rPr>
            </w:pPr>
          </w:p>
          <w:p>
            <w:pPr>
              <w:pStyle w:val="2"/>
              <w:rPr>
                <w:rStyle w:val="13"/>
                <w:rFonts w:ascii="Arial" w:hAnsi="Arial" w:cs="Arial"/>
                <w:bCs w:val="0"/>
                <w:spacing w:val="0"/>
                <w:shd w:val="clear" w:color="auto" w:fill="FFFFFF"/>
              </w:rPr>
            </w:pPr>
          </w:p>
          <w:p>
            <w:pPr>
              <w:rPr>
                <w:rStyle w:val="13"/>
                <w:rFonts w:ascii="Arial" w:hAnsi="Arial" w:cs="Arial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shd w:val="clear" w:color="auto" w:fill="FFFFFF"/>
              </w:rPr>
              <w:t>20</w:t>
            </w:r>
            <w:r>
              <w:rPr>
                <w:rStyle w:val="13"/>
                <w:rFonts w:ascii="Arial" w:hAnsi="Arial" w:cs="Arial"/>
                <w:shd w:val="clear" w:color="auto" w:fill="FFFFFF"/>
              </w:rPr>
              <w:t>20.9.30</w:t>
            </w:r>
            <w:r>
              <w:rPr>
                <w:rStyle w:val="13"/>
                <w:rFonts w:hint="eastAsia" w:ascii="Arial" w:hAnsi="Arial" w:cs="Arial"/>
                <w:shd w:val="clear" w:color="auto" w:fill="FFFFFF"/>
              </w:rPr>
              <w:t>召开了管理评审会议，由总经理主持。提供管理评审报告，具体内容，二阶段进一步审核。</w:t>
            </w:r>
          </w:p>
          <w:p>
            <w:pPr>
              <w:rPr>
                <w:rStyle w:val="13"/>
                <w:rFonts w:ascii="Arial" w:hAnsi="Arial" w:cs="Arial"/>
                <w:shd w:val="clear" w:color="auto" w:fill="FFFFFF"/>
              </w:rPr>
            </w:pPr>
          </w:p>
          <w:p>
            <w:pPr>
              <w:pStyle w:val="2"/>
            </w:pPr>
          </w:p>
          <w:p>
            <w:pPr>
              <w:rPr>
                <w:rStyle w:val="13"/>
                <w:rFonts w:ascii="Arial" w:hAnsi="Arial" w:cs="Arial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shd w:val="clear" w:color="auto" w:fill="FFFFFF"/>
              </w:rPr>
              <w:t>未见特种设备台账。</w:t>
            </w:r>
          </w:p>
          <w:p>
            <w:pPr>
              <w:rPr>
                <w:rStyle w:val="13"/>
                <w:rFonts w:ascii="Arial" w:hAnsi="Arial" w:cs="Arial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shd w:val="clear" w:color="auto" w:fill="FFFFFF"/>
              </w:rPr>
              <w:t>办公设备：电脑、电话、打印机等</w:t>
            </w:r>
          </w:p>
          <w:p>
            <w:pPr>
              <w:pStyle w:val="2"/>
              <w:rPr>
                <w:rStyle w:val="13"/>
                <w:rFonts w:ascii="Arial" w:hAnsi="Arial" w:cs="Arial"/>
                <w:bCs w:val="0"/>
                <w:spacing w:val="0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bCs w:val="0"/>
                <w:spacing w:val="0"/>
                <w:shd w:val="clear" w:color="auto" w:fill="FFFFFF"/>
              </w:rPr>
              <w:t>环保设备：垃圾桶、灭火器</w:t>
            </w:r>
          </w:p>
          <w:p>
            <w:pPr>
              <w:pStyle w:val="2"/>
              <w:rPr>
                <w:rStyle w:val="13"/>
                <w:rFonts w:ascii="Arial" w:hAnsi="Arial" w:cs="Arial"/>
                <w:bCs w:val="0"/>
                <w:spacing w:val="0"/>
                <w:shd w:val="clear" w:color="auto" w:fill="FFFFFF"/>
              </w:rPr>
            </w:pPr>
            <w:r>
              <w:rPr>
                <w:rStyle w:val="13"/>
                <w:rFonts w:hint="eastAsia" w:ascii="Arial" w:hAnsi="Arial" w:cs="Arial"/>
                <w:bCs w:val="0"/>
                <w:spacing w:val="0"/>
                <w:shd w:val="clear" w:color="auto" w:fill="FFFFFF"/>
              </w:rPr>
              <w:t>消防设施：消防栓、灭火器、应急灯等</w:t>
            </w:r>
          </w:p>
          <w:p>
            <w:pPr>
              <w:rPr>
                <w:rStyle w:val="13"/>
                <w:rFonts w:ascii="Arial" w:hAnsi="Arial" w:cs="Arial"/>
                <w:shd w:val="clear" w:color="auto" w:fill="FFFFFF"/>
              </w:rPr>
            </w:pPr>
          </w:p>
          <w:p>
            <w:pPr>
              <w:rPr>
                <w:rStyle w:val="13"/>
                <w:rFonts w:ascii="Arial" w:hAnsi="Arial" w:cs="Arial"/>
                <w:shd w:val="clear" w:color="auto" w:fill="FFFFFF"/>
              </w:rPr>
            </w:pPr>
            <w:r>
              <w:rPr>
                <w:rStyle w:val="13"/>
                <w:rFonts w:ascii="Arial" w:hAnsi="Arial" w:cs="Arial"/>
                <w:shd w:val="clear" w:color="auto" w:fill="FFFFFF"/>
              </w:rPr>
              <w:t>无</w:t>
            </w:r>
            <w:r>
              <w:rPr>
                <w:rStyle w:val="13"/>
                <w:rFonts w:hint="eastAsia" w:ascii="Arial" w:hAnsi="Arial" w:cs="Arial"/>
                <w:shd w:val="clear" w:color="auto" w:fill="FFFFFF"/>
              </w:rPr>
              <w:t>环保\安全监测设备</w:t>
            </w:r>
          </w:p>
          <w:p>
            <w:pPr>
              <w:rPr>
                <w:rStyle w:val="13"/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231"/>
        <w:gridCol w:w="11589"/>
        <w:gridCol w:w="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42" w:type="pct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413" w:type="pct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3889" w:type="pct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办公室    </w:t>
            </w:r>
            <w:r>
              <w:rPr>
                <w:rFonts w:hint="eastAsia"/>
                <w:sz w:val="24"/>
                <w:szCs w:val="24"/>
              </w:rPr>
              <w:t>主管领导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王宁宁</w:t>
            </w:r>
          </w:p>
        </w:tc>
        <w:tc>
          <w:tcPr>
            <w:tcW w:w="253" w:type="pct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42" w:type="pct"/>
            <w:vMerge w:val="continue"/>
            <w:vAlign w:val="center"/>
          </w:tcPr>
          <w:p/>
        </w:tc>
        <w:tc>
          <w:tcPr>
            <w:tcW w:w="413" w:type="pct"/>
            <w:vMerge w:val="continue"/>
            <w:vAlign w:val="center"/>
          </w:tcPr>
          <w:p/>
        </w:tc>
        <w:tc>
          <w:tcPr>
            <w:tcW w:w="3889" w:type="pct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李蒙生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2020.11.28</w:t>
            </w:r>
          </w:p>
        </w:tc>
        <w:tc>
          <w:tcPr>
            <w:tcW w:w="253" w:type="pct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42" w:type="pct"/>
            <w:vMerge w:val="continue"/>
            <w:vAlign w:val="center"/>
          </w:tcPr>
          <w:p/>
        </w:tc>
        <w:tc>
          <w:tcPr>
            <w:tcW w:w="413" w:type="pct"/>
            <w:vMerge w:val="continue"/>
            <w:vAlign w:val="center"/>
          </w:tcPr>
          <w:p/>
        </w:tc>
        <w:tc>
          <w:tcPr>
            <w:tcW w:w="3889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 w:val="21"/>
                <w:szCs w:val="21"/>
              </w:rPr>
              <w:t>Q7.1.6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7.5；E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253" w:type="pct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1" w:hRule="atLeast"/>
        </w:trPr>
        <w:tc>
          <w:tcPr>
            <w:tcW w:w="442" w:type="pct"/>
            <w:vAlign w:val="top"/>
          </w:tcPr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组织的知识及</w:t>
            </w:r>
            <w:r>
              <w:rPr>
                <w:rFonts w:hint="eastAsia"/>
                <w:highlight w:val="none"/>
              </w:rPr>
              <w:t>管理体系文件</w:t>
            </w:r>
          </w:p>
          <w:p>
            <w:pPr>
              <w:rPr>
                <w:rFonts w:hint="eastAsia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合规义务</w:t>
            </w:r>
          </w:p>
          <w:p>
            <w:pPr>
              <w:rPr>
                <w:rFonts w:hint="default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法律法规</w:t>
            </w:r>
          </w:p>
        </w:tc>
        <w:tc>
          <w:tcPr>
            <w:tcW w:w="413" w:type="pct"/>
            <w:vAlign w:val="top"/>
          </w:tcPr>
          <w:p>
            <w:pPr>
              <w:rPr>
                <w:rFonts w:hint="eastAsia"/>
                <w:szCs w:val="22"/>
                <w:highlight w:val="none"/>
                <w:lang w:val="en-US" w:eastAsia="zh-CN"/>
              </w:rPr>
            </w:pPr>
          </w:p>
          <w:p>
            <w:pPr>
              <w:rPr>
                <w:rFonts w:hint="default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Cs w:val="22"/>
                <w:highlight w:val="none"/>
                <w:lang w:val="en-US" w:eastAsia="zh-CN"/>
              </w:rPr>
              <w:t>Q7.1.6</w:t>
            </w:r>
          </w:p>
          <w:p>
            <w:pPr>
              <w:rPr>
                <w:rFonts w:hint="eastAsia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Cs w:val="22"/>
                <w:highlight w:val="none"/>
                <w:lang w:val="en-US" w:eastAsia="zh-CN"/>
              </w:rPr>
              <w:t>QEO7.5</w:t>
            </w:r>
          </w:p>
          <w:p>
            <w:pPr>
              <w:rPr>
                <w:rFonts w:hint="default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Cs w:val="22"/>
                <w:highlight w:val="none"/>
                <w:lang w:val="en-US" w:eastAsia="zh-CN"/>
              </w:rPr>
              <w:t>EO6.1.3</w:t>
            </w:r>
          </w:p>
        </w:tc>
        <w:tc>
          <w:tcPr>
            <w:tcW w:w="3889" w:type="pct"/>
            <w:vAlign w:val="top"/>
          </w:tcPr>
          <w:p>
            <w:pPr>
              <w:rPr>
                <w:rFonts w:hint="eastAsia"/>
                <w:szCs w:val="22"/>
                <w:highlight w:val="none"/>
              </w:rPr>
            </w:pPr>
            <w:r>
              <w:rPr>
                <w:szCs w:val="22"/>
                <w:highlight w:val="none"/>
              </w:rPr>
              <w:t>■</w:t>
            </w:r>
            <w:r>
              <w:rPr>
                <w:rFonts w:hint="eastAsia"/>
                <w:szCs w:val="22"/>
                <w:highlight w:val="none"/>
              </w:rPr>
              <w:t>受审核方建立的管理体系文件包括</w:t>
            </w:r>
            <w:r>
              <w:rPr>
                <w:rFonts w:hint="eastAsia"/>
                <w:szCs w:val="22"/>
                <w:highlight w:val="none"/>
                <w:lang w:eastAsia="zh-CN"/>
              </w:rPr>
              <w:t>：</w:t>
            </w:r>
          </w:p>
          <w:p>
            <w:pPr>
              <w:rPr>
                <w:rFonts w:hint="eastAsia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Cs w:val="22"/>
                <w:highlight w:val="none"/>
              </w:rPr>
              <w:t>1.管理手册</w:t>
            </w:r>
            <w:r>
              <w:rPr>
                <w:rFonts w:hint="eastAsia"/>
                <w:lang w:eastAsia="zh-CN"/>
              </w:rPr>
              <w:t>WX</w:t>
            </w:r>
            <w:r>
              <w:rPr>
                <w:rFonts w:hint="eastAsia"/>
              </w:rPr>
              <w:t>-QES</w:t>
            </w:r>
            <w:r>
              <w:rPr>
                <w:rFonts w:hint="eastAsia"/>
                <w:lang w:val="en-US" w:eastAsia="zh-CN"/>
              </w:rPr>
              <w:t>MS</w:t>
            </w:r>
            <w:r>
              <w:rPr>
                <w:rFonts w:hint="eastAsia"/>
              </w:rPr>
              <w:t>-2020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zCs w:val="22"/>
                <w:highlight w:val="none"/>
              </w:rPr>
              <w:t>AO版，20</w:t>
            </w:r>
            <w:r>
              <w:rPr>
                <w:rFonts w:hint="eastAsia"/>
                <w:szCs w:val="22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szCs w:val="22"/>
                <w:highlight w:val="none"/>
              </w:rPr>
              <w:t>年</w:t>
            </w:r>
            <w:r>
              <w:rPr>
                <w:rFonts w:hint="eastAsia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szCs w:val="22"/>
                <w:highlight w:val="none"/>
              </w:rPr>
              <w:t>月</w:t>
            </w:r>
            <w:r>
              <w:rPr>
                <w:rFonts w:hint="eastAsia"/>
                <w:szCs w:val="22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szCs w:val="22"/>
                <w:highlight w:val="none"/>
              </w:rPr>
              <w:t>日发表实施（含质量、环境、职业健康安全方针、质量、环境、职业健康安全目标）</w:t>
            </w:r>
            <w:r>
              <w:rPr>
                <w:rFonts w:hint="eastAsia"/>
                <w:szCs w:val="22"/>
                <w:highlight w:val="none"/>
                <w:lang w:eastAsia="zh-CN"/>
              </w:rPr>
              <w:t>。</w:t>
            </w:r>
          </w:p>
          <w:p>
            <w:pPr>
              <w:rPr>
                <w:rFonts w:hint="eastAsia"/>
                <w:szCs w:val="22"/>
                <w:highlight w:val="none"/>
              </w:rPr>
            </w:pPr>
            <w:r>
              <w:rPr>
                <w:rFonts w:hint="eastAsia"/>
                <w:szCs w:val="22"/>
                <w:highlight w:val="none"/>
              </w:rPr>
              <w:t>2.程序文件</w:t>
            </w:r>
            <w:r>
              <w:rPr>
                <w:rFonts w:hint="eastAsia"/>
                <w:lang w:eastAsia="zh-CN"/>
              </w:rPr>
              <w:t>WX</w:t>
            </w:r>
            <w:r>
              <w:rPr>
                <w:rFonts w:hint="eastAsia"/>
              </w:rPr>
              <w:t>/QES</w:t>
            </w:r>
            <w:r>
              <w:rPr>
                <w:rFonts w:hint="eastAsia"/>
                <w:lang w:val="en-US" w:eastAsia="zh-CN"/>
              </w:rPr>
              <w:t>MS</w:t>
            </w:r>
            <w:r>
              <w:rPr>
                <w:rFonts w:hint="eastAsia"/>
              </w:rPr>
              <w:t>-CX-2020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szCs w:val="22"/>
                <w:highlight w:val="none"/>
                <w:lang w:val="en-US" w:eastAsia="zh-CN"/>
              </w:rPr>
              <w:t>AO版</w:t>
            </w:r>
            <w:r>
              <w:rPr>
                <w:rFonts w:hint="eastAsia"/>
                <w:szCs w:val="22"/>
                <w:highlight w:val="none"/>
              </w:rPr>
              <w:t>，含</w:t>
            </w:r>
            <w:r>
              <w:rPr>
                <w:rFonts w:hint="eastAsia"/>
                <w:szCs w:val="22"/>
                <w:highlight w:val="none"/>
                <w:lang w:val="en-US" w:eastAsia="zh-CN"/>
              </w:rPr>
              <w:t>26</w:t>
            </w:r>
            <w:r>
              <w:rPr>
                <w:rFonts w:hint="eastAsia"/>
                <w:szCs w:val="22"/>
                <w:highlight w:val="none"/>
              </w:rPr>
              <w:t>个文件，包括标准要求的程序</w:t>
            </w:r>
          </w:p>
          <w:p>
            <w:pPr>
              <w:rPr>
                <w:rFonts w:hint="eastAsia"/>
                <w:szCs w:val="22"/>
                <w:highlight w:val="none"/>
              </w:rPr>
            </w:pPr>
            <w:r>
              <w:rPr>
                <w:rFonts w:hint="eastAsia"/>
                <w:szCs w:val="22"/>
                <w:highlight w:val="none"/>
              </w:rPr>
              <w:t>3.</w:t>
            </w:r>
            <w:r>
              <w:rPr>
                <w:rFonts w:hint="eastAsia"/>
                <w:szCs w:val="22"/>
                <w:highlight w:val="none"/>
                <w:lang w:eastAsia="zh-CN"/>
              </w:rPr>
              <w:t>管理、</w:t>
            </w:r>
            <w:r>
              <w:rPr>
                <w:rFonts w:hint="eastAsia"/>
                <w:szCs w:val="22"/>
                <w:highlight w:val="none"/>
              </w:rPr>
              <w:t>作业文件</w:t>
            </w:r>
            <w:r>
              <w:rPr>
                <w:rFonts w:hint="eastAsia"/>
                <w:szCs w:val="22"/>
                <w:highlight w:val="none"/>
                <w:lang w:val="en-US" w:eastAsia="zh-CN"/>
              </w:rPr>
              <w:t>WX/GL-2020-AO版</w:t>
            </w:r>
            <w:r>
              <w:rPr>
                <w:rFonts w:hint="eastAsia"/>
                <w:szCs w:val="22"/>
                <w:highlight w:val="none"/>
              </w:rPr>
              <w:t>，包括：岗位任职条件</w:t>
            </w:r>
            <w:r>
              <w:rPr>
                <w:rFonts w:hint="eastAsia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/>
                <w:szCs w:val="22"/>
                <w:highlight w:val="none"/>
              </w:rPr>
              <w:t>环境目标、指标和方案</w:t>
            </w:r>
            <w:r>
              <w:rPr>
                <w:rFonts w:hint="eastAsia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/>
                <w:szCs w:val="22"/>
                <w:highlight w:val="none"/>
              </w:rPr>
              <w:t>职业健康安全目标和管理方案等。</w:t>
            </w:r>
          </w:p>
          <w:p>
            <w:pPr>
              <w:rPr>
                <w:rFonts w:hint="eastAsia"/>
                <w:szCs w:val="22"/>
                <w:highlight w:val="none"/>
              </w:rPr>
            </w:pPr>
            <w:r>
              <w:rPr>
                <w:rFonts w:hint="eastAsia"/>
                <w:szCs w:val="22"/>
                <w:highlight w:val="none"/>
              </w:rPr>
              <w:t>4.体系运行所需要的记录</w:t>
            </w:r>
          </w:p>
          <w:p>
            <w:pPr>
              <w:rPr>
                <w:rFonts w:hint="default"/>
                <w:szCs w:val="22"/>
                <w:highlight w:val="none"/>
                <w:lang w:eastAsia="zh-CN"/>
              </w:rPr>
            </w:pPr>
            <w:r>
              <w:rPr>
                <w:highlight w:val="none"/>
              </w:rPr>
              <w:t>■</w:t>
            </w:r>
            <w:r>
              <w:rPr>
                <w:rFonts w:hint="eastAsia"/>
                <w:highlight w:val="none"/>
              </w:rPr>
              <w:t>编制了文件控制程序</w:t>
            </w:r>
            <w:r>
              <w:rPr>
                <w:rFonts w:hint="eastAsia"/>
                <w:highlight w:val="none"/>
                <w:lang w:eastAsia="zh-CN"/>
              </w:rPr>
              <w:t>、法律法规与其他要求控制程序</w:t>
            </w:r>
            <w:r>
              <w:rPr>
                <w:rFonts w:hint="eastAsia"/>
                <w:highlight w:val="none"/>
              </w:rPr>
              <w:t>，用于对管理体系文件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法律法规的识别和</w:t>
            </w:r>
            <w:r>
              <w:rPr>
                <w:rFonts w:hint="eastAsia"/>
                <w:highlight w:val="none"/>
              </w:rPr>
              <w:t>管理</w:t>
            </w:r>
            <w:r>
              <w:rPr>
                <w:rFonts w:hint="eastAsia"/>
                <w:highlight w:val="none"/>
                <w:lang w:eastAsia="zh-CN"/>
              </w:rPr>
              <w:t>，</w:t>
            </w:r>
            <w:r>
              <w:rPr>
                <w:rFonts w:hint="eastAsia"/>
                <w:color w:val="auto"/>
                <w:highlight w:val="none"/>
              </w:rPr>
              <w:t>对外来文件进行了识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别收集，提供有《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外来文件清单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》、《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适用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法律法规清单》，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eastAsia="zh-CN"/>
              </w:rPr>
              <w:t>包括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质量法、合同法、环境保护法、环境噪声污染防治法、劳动法、消防法、环境空气质量标准、固体废弃物环境防治法、仓库防火安全管理规则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劳动保护用品管理规定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GB/T 19000-2016《质量管理体系 基础和术语》、GB/T19</w:t>
            </w:r>
            <w:r>
              <w:rPr>
                <w:rFonts w:hint="eastAsia"/>
                <w:u w:val="none" w:color="auto"/>
                <w:lang w:val="en-US" w:eastAsia="zh-CN"/>
              </w:rPr>
              <w:t>001-2016《质量管理体系 要求》、GB/T24001-2016《环境管理体系 要求及使用指南》、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GB/T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45001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-20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《职业健康安全管理体系 要求及使用指南》</w:t>
            </w:r>
            <w:r>
              <w:rPr>
                <w:rFonts w:hint="default" w:ascii="Times New Roman" w:hAnsi="Times New Roman" w:cs="Times New Roman"/>
                <w:highlight w:val="none"/>
              </w:rPr>
              <w:t>等法规</w:t>
            </w:r>
            <w:r>
              <w:rPr>
                <w:rFonts w:hint="default" w:ascii="Times New Roman" w:hAnsi="Times New Roman" w:cs="Times New Roman"/>
                <w:highlight w:val="none"/>
                <w:lang w:eastAsia="zh-CN"/>
              </w:rPr>
              <w:t>要求</w:t>
            </w:r>
            <w:r>
              <w:rPr>
                <w:rFonts w:hint="default"/>
                <w:szCs w:val="22"/>
                <w:highlight w:val="none"/>
                <w:lang w:eastAsia="zh-CN"/>
              </w:rPr>
              <w:t>。</w:t>
            </w:r>
          </w:p>
          <w:p>
            <w:pPr>
              <w:rPr>
                <w:rFonts w:hint="default"/>
                <w:szCs w:val="22"/>
                <w:highlight w:val="none"/>
                <w:lang w:val="en-US" w:eastAsia="zh-CN"/>
              </w:rPr>
            </w:pPr>
            <w:r>
              <w:rPr>
                <w:szCs w:val="22"/>
                <w:highlight w:val="none"/>
              </w:rPr>
              <w:t>■</w:t>
            </w:r>
            <w:r>
              <w:rPr>
                <w:rFonts w:hint="eastAsia" w:cs="宋体"/>
              </w:rPr>
              <w:t>编制了</w:t>
            </w:r>
            <w:r>
              <w:rPr>
                <w:rFonts w:hint="eastAsia" w:cs="宋体"/>
                <w:lang w:eastAsia="zh-CN"/>
              </w:rPr>
              <w:t>《合规性评价控制程序》</w:t>
            </w:r>
            <w:r>
              <w:rPr>
                <w:rFonts w:hint="eastAsia" w:cs="宋体"/>
              </w:rPr>
              <w:t>，规定法律、法规及其他要求的范围、获取方法、确认及分发、合规性评价的要求和频率。</w:t>
            </w:r>
            <w:r>
              <w:rPr>
                <w:rFonts w:hint="eastAsia"/>
                <w:lang w:eastAsia="zh-CN"/>
              </w:rPr>
              <w:t>进行了合规性评价，</w:t>
            </w:r>
            <w:r>
              <w:t>提供合规性评价</w:t>
            </w:r>
            <w:r>
              <w:rPr>
                <w:rFonts w:hint="eastAsia"/>
                <w:lang w:eastAsia="zh-CN"/>
              </w:rPr>
              <w:t>报告及合规性评价</w:t>
            </w:r>
            <w:r>
              <w:t>记录，评价时间：20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5.15</w:t>
            </w:r>
            <w:r>
              <w:t>，符合要求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253" w:type="pc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442" w:type="pct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环境因素识别评价程序的充分性、适宜性</w:t>
            </w:r>
          </w:p>
        </w:tc>
        <w:tc>
          <w:tcPr>
            <w:tcW w:w="413" w:type="pct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EO</w:t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6.1.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2</w:t>
            </w:r>
          </w:p>
        </w:tc>
        <w:tc>
          <w:tcPr>
            <w:tcW w:w="3889" w:type="pct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策划、编制了《环境因素识别与评价控制程序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>》</w:t>
            </w: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cs="宋体"/>
              </w:rPr>
              <w:t>《危险源识别、风险评价控制程序》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，经文审符合标准要求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提供《环境因素识别</w:t>
            </w: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评价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表》，其中包括办公区等，包括固废排放、火灾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的发生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、</w:t>
            </w: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资源的消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耗、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能源的消耗、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废气排放、</w:t>
            </w: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废水的排放、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噪声排放等。</w:t>
            </w:r>
          </w:p>
          <w:p>
            <w:pP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可以提供《重要环境因素清单》，其中重要环境因素：固体废弃物排放、火灾的发生，评价准确</w:t>
            </w: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rPr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提供</w:t>
            </w:r>
            <w:r>
              <w:rPr>
                <w:rFonts w:hint="eastAsia"/>
                <w:u w:val="none" w:color="auto"/>
              </w:rPr>
              <w:t>《</w:t>
            </w:r>
            <w:r>
              <w:rPr>
                <w:rFonts w:hint="eastAsia"/>
                <w:u w:val="none" w:color="auto"/>
                <w:lang w:val="en-US" w:eastAsia="zh-CN"/>
              </w:rPr>
              <w:t>危险源识别清单</w:t>
            </w:r>
            <w:r>
              <w:rPr>
                <w:rFonts w:hint="eastAsia"/>
                <w:u w:val="none" w:color="auto"/>
              </w:rPr>
              <w:t>》</w:t>
            </w:r>
            <w:r>
              <w:rPr>
                <w:rFonts w:hint="eastAsia"/>
                <w:u w:val="none" w:color="auto"/>
                <w:lang w:eastAsia="zh-CN"/>
              </w:rPr>
              <w:t>，</w:t>
            </w:r>
            <w:r>
              <w:rPr>
                <w:rFonts w:hint="eastAsia"/>
                <w:u w:val="none" w:color="auto"/>
              </w:rPr>
              <w:t>按照活动、区域进行了识别，包括：电脑、打印机、复印机产生的辐射；</w:t>
            </w:r>
            <w:r>
              <w:rPr>
                <w:rFonts w:hint="eastAsia"/>
                <w:u w:val="none" w:color="auto"/>
                <w:lang w:val="en-US" w:eastAsia="zh-CN"/>
              </w:rPr>
              <w:t>电源电器老化损坏、违章用电、地面油污水滑跌倒、障碍物挡路、交通事故</w:t>
            </w:r>
            <w:r>
              <w:rPr>
                <w:rFonts w:hint="eastAsia"/>
                <w:u w:val="none" w:color="auto"/>
              </w:rPr>
              <w:t>等</w:t>
            </w:r>
            <w:r>
              <w:rPr>
                <w:rFonts w:hint="eastAsia"/>
                <w:u w:val="none" w:color="auto"/>
                <w:lang w:eastAsia="zh-CN"/>
              </w:rPr>
              <w:t>，评价</w:t>
            </w:r>
            <w:r>
              <w:rPr>
                <w:rFonts w:hint="eastAsia"/>
                <w:u w:val="none" w:color="auto"/>
              </w:rPr>
              <w:t>基本</w:t>
            </w:r>
            <w:r>
              <w:rPr>
                <w:rFonts w:hint="eastAsia"/>
                <w:u w:val="none" w:color="auto"/>
                <w:lang w:eastAsia="zh-CN"/>
              </w:rPr>
              <w:t>全面</w:t>
            </w:r>
          </w:p>
          <w:p>
            <w:pP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u w:val="none" w:color="auto"/>
              </w:rPr>
              <w:t>提供</w:t>
            </w:r>
            <w:r>
              <w:rPr>
                <w:rFonts w:hint="eastAsia" w:ascii="宋体" w:hAnsi="宋体"/>
                <w:color w:val="auto"/>
                <w:u w:val="none" w:color="auto"/>
              </w:rPr>
              <w:t>《</w:t>
            </w:r>
            <w:r>
              <w:rPr>
                <w:rFonts w:hint="eastAsia"/>
                <w:u w:val="none" w:color="auto"/>
              </w:rPr>
              <w:t>重大危险源清单</w:t>
            </w:r>
            <w:r>
              <w:rPr>
                <w:rFonts w:hint="eastAsia" w:ascii="宋体" w:hAnsi="宋体"/>
                <w:color w:val="auto"/>
                <w:u w:val="none" w:color="auto"/>
              </w:rPr>
              <w:t>》，评价</w:t>
            </w:r>
            <w:r>
              <w:rPr>
                <w:rFonts w:hint="eastAsia"/>
                <w:u w:val="none" w:color="auto"/>
              </w:rPr>
              <w:t>火灾</w:t>
            </w:r>
            <w:r>
              <w:rPr>
                <w:rFonts w:hint="eastAsia"/>
                <w:u w:val="none" w:color="auto"/>
                <w:lang w:eastAsia="zh-CN"/>
              </w:rPr>
              <w:t>、</w:t>
            </w:r>
            <w:r>
              <w:rPr>
                <w:rFonts w:hint="eastAsia"/>
                <w:u w:val="none" w:color="auto"/>
                <w:lang w:val="en-US" w:eastAsia="zh-CN"/>
              </w:rPr>
              <w:t>触电、意外伤害</w:t>
            </w:r>
            <w:r>
              <w:rPr>
                <w:rFonts w:hint="eastAsia" w:ascii="宋体" w:hAnsi="宋体"/>
                <w:color w:val="auto"/>
                <w:u w:val="none" w:color="auto"/>
              </w:rPr>
              <w:t>为不可接受风险，</w:t>
            </w:r>
            <w:r>
              <w:rPr>
                <w:rFonts w:hint="eastAsia"/>
                <w:color w:val="auto"/>
                <w:u w:val="none" w:color="auto"/>
              </w:rPr>
              <w:t>评价准确</w:t>
            </w:r>
            <w:r>
              <w:rPr>
                <w:rFonts w:hint="eastAsia"/>
                <w:u w:val="none" w:color="auto"/>
                <w:lang w:val="en-US" w:eastAsia="zh-CN"/>
              </w:rPr>
              <w:t>。</w:t>
            </w:r>
          </w:p>
        </w:tc>
        <w:tc>
          <w:tcPr>
            <w:tcW w:w="253" w:type="pc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442" w:type="pct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实现环境目标措施的策划</w:t>
            </w:r>
          </w:p>
        </w:tc>
        <w:tc>
          <w:tcPr>
            <w:tcW w:w="413" w:type="pct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EO</w:t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6.2.2</w:t>
            </w:r>
          </w:p>
        </w:tc>
        <w:tc>
          <w:tcPr>
            <w:tcW w:w="3889" w:type="pct"/>
            <w:vAlign w:val="top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环境目标、指标、管理方案：</w:t>
            </w:r>
          </w:p>
          <w:p>
            <w:pPr>
              <w:spacing w:line="320" w:lineRule="exact"/>
              <w:ind w:firstLine="210" w:firstLineChars="100"/>
              <w:rPr>
                <w:rFonts w:hint="eastAsia" w:hAnsi="宋体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抽目标指标：</w:t>
            </w:r>
            <w:r>
              <w:rPr>
                <w:rFonts w:hint="eastAsia" w:hAnsi="宋体"/>
              </w:rPr>
              <w:t>固体废弃物分类回收率100%合理处置</w:t>
            </w:r>
            <w:r>
              <w:rPr>
                <w:rFonts w:hint="eastAsia" w:hAnsi="宋体"/>
                <w:lang w:eastAsia="zh-CN"/>
              </w:rPr>
              <w:t>包括：废电池、日光灯集中回收率100%</w:t>
            </w:r>
          </w:p>
          <w:p>
            <w:pPr>
              <w:spacing w:line="320" w:lineRule="exact"/>
              <w:ind w:firstLine="1470" w:firstLineChars="700"/>
              <w:rPr>
                <w:rFonts w:hint="eastAsia" w:hAnsi="宋体" w:eastAsia="宋体"/>
                <w:lang w:eastAsia="zh-CN"/>
              </w:rPr>
            </w:pPr>
            <w:r>
              <w:rPr>
                <w:rFonts w:hint="eastAsia" w:hAnsi="宋体"/>
                <w:lang w:eastAsia="zh-CN"/>
              </w:rPr>
              <w:t>硒鼓集中回收率100%</w:t>
            </w:r>
          </w:p>
          <w:p>
            <w:pPr>
              <w:spacing w:line="320" w:lineRule="exact"/>
              <w:ind w:firstLine="210" w:firstLineChars="100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管理方案：1.废电池用塑料袋装好，做好标识，交</w:t>
            </w: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办公室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集中回收，统一处理。</w:t>
            </w:r>
          </w:p>
          <w:p>
            <w:pPr>
              <w:spacing w:line="320" w:lineRule="exact"/>
              <w:ind w:firstLine="1260" w:firstLineChars="600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2.废日光灯放入专用垃圾箱，做好标识，交</w:t>
            </w: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办公室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集中回收，统一处理。</w:t>
            </w:r>
          </w:p>
          <w:p>
            <w:pPr>
              <w:spacing w:line="320" w:lineRule="exact"/>
              <w:ind w:firstLine="1260" w:firstLineChars="600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.废硒鼓用塑料袋装好，做好标识，交</w:t>
            </w: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办公室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集中回收，统一处理。</w:t>
            </w:r>
          </w:p>
          <w:p>
            <w:pPr>
              <w:ind w:firstLine="420" w:firstLineChars="200"/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责任部</w:t>
            </w: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：办公室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，费用：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200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元，起止时间：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2020.12月完成</w:t>
            </w:r>
          </w:p>
          <w:p>
            <w:pP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职业健康安全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目标、指标、管理方案</w:t>
            </w: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rPr>
                <w:rFonts w:hint="default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抽目标指标：</w:t>
            </w:r>
            <w:r>
              <w:rPr>
                <w:rFonts w:hint="default" w:cs="Times New Roman"/>
                <w:sz w:val="21"/>
                <w:szCs w:val="21"/>
                <w:highlight w:val="none"/>
                <w:lang w:val="en-US" w:eastAsia="zh-CN"/>
              </w:rPr>
              <w:t>无火灾事故发生</w:t>
            </w:r>
            <w:r>
              <w:rPr>
                <w:rFonts w:hint="default" w:cs="Times New Roman"/>
                <w:sz w:val="21"/>
                <w:szCs w:val="21"/>
                <w:highlight w:val="none"/>
                <w:lang w:val="en-US" w:eastAsia="zh-CN"/>
              </w:rPr>
              <w:tab/>
            </w:r>
            <w:r>
              <w:rPr>
                <w:rFonts w:hint="default" w:cs="Times New Roman"/>
                <w:sz w:val="21"/>
                <w:szCs w:val="21"/>
                <w:highlight w:val="none"/>
                <w:lang w:val="en-US" w:eastAsia="zh-CN"/>
              </w:rPr>
              <w:t>预防潜在火灾，采取有效措施的合格率100%</w:t>
            </w:r>
            <w:r>
              <w:rPr>
                <w:rFonts w:hint="default" w:cs="Times New Roman"/>
                <w:sz w:val="21"/>
                <w:szCs w:val="21"/>
                <w:highlight w:val="none"/>
                <w:lang w:val="en-US" w:eastAsia="zh-CN"/>
              </w:rPr>
              <w:tab/>
            </w:r>
            <w:r>
              <w:rPr>
                <w:rFonts w:hint="default" w:cs="Times New Roman"/>
                <w:sz w:val="21"/>
                <w:szCs w:val="21"/>
                <w:highlight w:val="none"/>
                <w:lang w:val="en-US" w:eastAsia="zh-CN"/>
              </w:rPr>
              <w:tab/>
            </w:r>
          </w:p>
          <w:p>
            <w:pPr>
              <w:rPr>
                <w:rFonts w:hint="default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管理方案：</w:t>
            </w:r>
            <w:r>
              <w:rPr>
                <w:rFonts w:hint="default" w:cs="Times New Roman"/>
                <w:sz w:val="21"/>
                <w:szCs w:val="21"/>
                <w:highlight w:val="none"/>
                <w:lang w:val="en-US" w:eastAsia="zh-CN"/>
              </w:rPr>
              <w:t>1、按照《应急准备与响应预案》及《消防安全管理制度》控制，营业厅配置禁止烟火标志和灭火器。2、对员工进行消防知识的培训和教育。3.定期进行安全消防检查。</w:t>
            </w:r>
          </w:p>
          <w:p>
            <w:pPr>
              <w:rPr>
                <w:rFonts w:hint="default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责任部门：办公室</w:t>
            </w:r>
            <w:r>
              <w:rPr>
                <w:rFonts w:hint="default" w:cs="Times New Roman"/>
                <w:sz w:val="21"/>
                <w:szCs w:val="21"/>
                <w:highlight w:val="none"/>
                <w:lang w:val="en-US" w:eastAsia="zh-CN"/>
              </w:rPr>
              <w:tab/>
            </w:r>
            <w:r>
              <w:rPr>
                <w:rFonts w:hint="default" w:cs="Times New Roman"/>
                <w:sz w:val="21"/>
                <w:szCs w:val="21"/>
                <w:highlight w:val="none"/>
                <w:lang w:val="en-US" w:eastAsia="zh-CN"/>
              </w:rPr>
              <w:t>2020年12月完成。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基本符合标准要求、可行。</w:t>
            </w:r>
          </w:p>
        </w:tc>
        <w:tc>
          <w:tcPr>
            <w:tcW w:w="253" w:type="pc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42" w:type="pct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应急准备和响应</w:t>
            </w:r>
          </w:p>
        </w:tc>
        <w:tc>
          <w:tcPr>
            <w:tcW w:w="413" w:type="pct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EO</w:t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8.2</w:t>
            </w:r>
          </w:p>
        </w:tc>
        <w:tc>
          <w:tcPr>
            <w:tcW w:w="3889" w:type="pct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策划了《应急准备和响应控制程序》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提供应急预案：针对包括火灾事故应急预案</w:t>
            </w:r>
          </w:p>
        </w:tc>
        <w:tc>
          <w:tcPr>
            <w:tcW w:w="253" w:type="pct"/>
          </w:tcPr>
          <w:p/>
        </w:tc>
      </w:tr>
    </w:tbl>
    <w:p/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228"/>
        <w:gridCol w:w="11566"/>
        <w:gridCol w:w="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50" w:type="pct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412" w:type="pct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3882" w:type="pct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eastAsia="zh-CN"/>
              </w:rPr>
              <w:t>供销部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主管领导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李风</w:t>
            </w:r>
          </w:p>
        </w:tc>
        <w:tc>
          <w:tcPr>
            <w:tcW w:w="254" w:type="pct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50" w:type="pct"/>
            <w:vMerge w:val="continue"/>
            <w:vAlign w:val="center"/>
          </w:tcPr>
          <w:p/>
        </w:tc>
        <w:tc>
          <w:tcPr>
            <w:tcW w:w="412" w:type="pct"/>
            <w:vMerge w:val="continue"/>
            <w:vAlign w:val="center"/>
          </w:tcPr>
          <w:p/>
        </w:tc>
        <w:tc>
          <w:tcPr>
            <w:tcW w:w="3882" w:type="pct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eastAsia="zh-CN"/>
              </w:rPr>
              <w:t>吉洁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2020.11.28</w:t>
            </w:r>
          </w:p>
        </w:tc>
        <w:tc>
          <w:tcPr>
            <w:tcW w:w="254" w:type="pct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50" w:type="pct"/>
            <w:vMerge w:val="continue"/>
            <w:vAlign w:val="center"/>
          </w:tcPr>
          <w:p/>
        </w:tc>
        <w:tc>
          <w:tcPr>
            <w:tcW w:w="412" w:type="pct"/>
            <w:vMerge w:val="continue"/>
            <w:vAlign w:val="center"/>
          </w:tcPr>
          <w:p/>
        </w:tc>
        <w:tc>
          <w:tcPr>
            <w:tcW w:w="3882" w:type="pc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7.1.3/7.1.4/7.1.5/8.1/8.5.1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EO6.1.2</w:t>
            </w:r>
          </w:p>
        </w:tc>
        <w:tc>
          <w:tcPr>
            <w:tcW w:w="254" w:type="pct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450" w:type="pct"/>
            <w:vAlign w:val="top"/>
          </w:tcPr>
          <w:p>
            <w:r>
              <w:rPr>
                <w:rFonts w:hint="eastAsia"/>
              </w:rPr>
              <w:t>基础设施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工作环境</w:t>
            </w: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监视设备</w:t>
            </w:r>
          </w:p>
        </w:tc>
        <w:tc>
          <w:tcPr>
            <w:tcW w:w="412" w:type="pct"/>
            <w:vAlign w:val="top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Q7.1.3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</w:rPr>
              <w:t>7.1.5</w:t>
            </w:r>
          </w:p>
        </w:tc>
        <w:tc>
          <w:tcPr>
            <w:tcW w:w="3882" w:type="pct"/>
            <w:vAlign w:val="top"/>
          </w:tcPr>
          <w:p>
            <w:pPr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</w:rPr>
              <w:t>配备有</w:t>
            </w:r>
            <w:r>
              <w:rPr>
                <w:rFonts w:hint="eastAsia"/>
                <w:szCs w:val="22"/>
                <w:lang w:eastAsia="zh-CN"/>
              </w:rPr>
              <w:t>办公室</w:t>
            </w:r>
            <w:r>
              <w:rPr>
                <w:rFonts w:hint="eastAsia"/>
                <w:szCs w:val="22"/>
              </w:rPr>
              <w:t>等基础设施，主要设备</w:t>
            </w:r>
            <w:r>
              <w:rPr>
                <w:rFonts w:hint="eastAsia"/>
                <w:szCs w:val="22"/>
                <w:lang w:eastAsia="zh-CN"/>
              </w:rPr>
              <w:t>：电脑（主机+显示器）、描扫仪/打印机一体、黑色打印机、白色打印机、传真电话一体机、固定电话。</w:t>
            </w: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</w:rPr>
              <w:t>公司</w:t>
            </w:r>
            <w:r>
              <w:rPr>
                <w:rFonts w:hint="eastAsia"/>
                <w:bCs/>
                <w:lang w:val="en-US" w:eastAsia="zh-CN"/>
              </w:rPr>
              <w:t>办公面积100</w:t>
            </w:r>
            <w:bookmarkStart w:id="2" w:name="_GoBack"/>
            <w:bookmarkEnd w:id="2"/>
            <w:r>
              <w:rPr>
                <w:rFonts w:hint="eastAsia"/>
                <w:bCs/>
                <w:lang w:val="en-US" w:eastAsia="zh-CN"/>
              </w:rPr>
              <w:t>平米</w:t>
            </w:r>
            <w:r>
              <w:rPr>
                <w:rFonts w:hint="eastAsia"/>
                <w:bCs/>
              </w:rPr>
              <w:t>，</w:t>
            </w:r>
            <w:r>
              <w:rPr>
                <w:rFonts w:hint="eastAsia"/>
                <w:bCs/>
                <w:lang w:val="en-US" w:eastAsia="zh-CN"/>
              </w:rPr>
              <w:t>无库存经营，</w:t>
            </w:r>
            <w:r>
              <w:rPr>
                <w:rFonts w:hint="eastAsia"/>
                <w:szCs w:val="22"/>
                <w:lang w:eastAsia="zh-CN"/>
              </w:rPr>
              <w:t>场所卫生干净整洁，工作环境良好</w:t>
            </w:r>
            <w:r>
              <w:rPr>
                <w:rFonts w:hint="eastAsia"/>
                <w:szCs w:val="22"/>
              </w:rPr>
              <w:t>。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组织对服务质量进行检查、对顾客满意度进行调查，制定了对应表格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254" w:type="pc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450" w:type="pct"/>
            <w:vAlign w:val="top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运行策划和控制及生产和服务提供的控制</w:t>
            </w:r>
          </w:p>
        </w:tc>
        <w:tc>
          <w:tcPr>
            <w:tcW w:w="412" w:type="pct"/>
            <w:vAlign w:val="top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Q8.1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Q8.5.1</w:t>
            </w:r>
          </w:p>
        </w:tc>
        <w:tc>
          <w:tcPr>
            <w:tcW w:w="3882" w:type="pc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建立了</w:t>
            </w:r>
            <w:r>
              <w:rPr>
                <w:rFonts w:hint="eastAsia"/>
              </w:rPr>
              <w:t>质量目标</w:t>
            </w:r>
          </w:p>
          <w:p>
            <w:pPr>
              <w:rPr>
                <w:rFonts w:hint="eastAsia" w:ascii="Times New Roman" w:hAnsi="Times New Roman" w:cs="Times New Roman"/>
                <w:szCs w:val="22"/>
                <w:lang w:eastAsia="zh-CN"/>
              </w:rPr>
            </w:pPr>
            <w:r>
              <w:rPr>
                <w:rFonts w:hint="eastAsia"/>
              </w:rPr>
              <w:t>收集的相关法律法规、技术标准：</w:t>
            </w:r>
            <w:r>
              <w:rPr>
                <w:rFonts w:hint="default"/>
                <w:szCs w:val="22"/>
                <w:highlight w:val="none"/>
              </w:rPr>
              <w:t>质量法、合同法、劳动法、</w:t>
            </w:r>
            <w:r>
              <w:rPr>
                <w:rFonts w:hint="eastAsia"/>
                <w:szCs w:val="22"/>
                <w:highlight w:val="none"/>
                <w:lang w:eastAsia="zh-CN"/>
              </w:rPr>
              <w:t>标准化</w:t>
            </w:r>
            <w:r>
              <w:rPr>
                <w:rFonts w:hint="default"/>
                <w:szCs w:val="22"/>
                <w:highlight w:val="none"/>
              </w:rPr>
              <w:t>法</w:t>
            </w:r>
            <w:r>
              <w:rPr>
                <w:rFonts w:hint="default"/>
              </w:rPr>
              <w:t>等</w:t>
            </w:r>
            <w:r>
              <w:rPr>
                <w:rFonts w:hint="default"/>
                <w:lang w:eastAsia="zh-CN"/>
              </w:rPr>
              <w:t>，</w:t>
            </w:r>
            <w:r>
              <w:rPr>
                <w:rFonts w:hint="default"/>
              </w:rPr>
              <w:t>经常网上查阅、及时与顾客沟通确保最新版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销售服务流程：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业务洽谈</w:t>
            </w:r>
            <w:r>
              <w:rPr>
                <w:rFonts w:hint="eastAsia"/>
                <w:sz w:val="21"/>
                <w:szCs w:val="21"/>
              </w:rPr>
              <w:t>―签订合同―</w:t>
            </w:r>
            <w:r>
              <w:rPr>
                <w:rFonts w:hint="eastAsia"/>
                <w:sz w:val="21"/>
                <w:szCs w:val="21"/>
                <w:lang w:eastAsia="zh-CN"/>
              </w:rPr>
              <w:t>产品采</w:t>
            </w:r>
            <w:r>
              <w:rPr>
                <w:rFonts w:hint="eastAsia"/>
                <w:szCs w:val="22"/>
                <w:lang w:eastAsia="zh-CN"/>
              </w:rPr>
              <w:t>购</w:t>
            </w:r>
            <w:r>
              <w:rPr>
                <w:rFonts w:hint="eastAsia"/>
                <w:szCs w:val="22"/>
              </w:rPr>
              <w:t>―</w:t>
            </w:r>
            <w:r>
              <w:rPr>
                <w:rFonts w:hint="eastAsia"/>
                <w:szCs w:val="22"/>
                <w:lang w:val="en-US" w:eastAsia="zh-CN"/>
              </w:rPr>
              <w:t>发货至顾客指定地址</w:t>
            </w:r>
            <w:r>
              <w:rPr>
                <w:rFonts w:hint="eastAsia"/>
                <w:szCs w:val="22"/>
              </w:rPr>
              <w:t>―</w:t>
            </w:r>
            <w:r>
              <w:rPr>
                <w:rFonts w:hint="eastAsia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szCs w:val="22"/>
              </w:rPr>
              <w:t>验收―</w:t>
            </w:r>
            <w:r>
              <w:rPr>
                <w:rFonts w:hint="eastAsia"/>
                <w:szCs w:val="22"/>
                <w:lang w:eastAsia="zh-CN"/>
              </w:rPr>
              <w:t>结算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规定了产品</w:t>
            </w:r>
            <w:r>
              <w:rPr>
                <w:rFonts w:hint="eastAsia"/>
                <w:sz w:val="21"/>
                <w:szCs w:val="21"/>
                <w:lang w:eastAsia="zh-CN"/>
              </w:rPr>
              <w:t>和服务</w:t>
            </w:r>
            <w:r>
              <w:rPr>
                <w:rFonts w:hint="eastAsia"/>
                <w:sz w:val="21"/>
                <w:szCs w:val="21"/>
              </w:rPr>
              <w:t>实现所需的设备设施、人员、检测设备等资源要求</w:t>
            </w:r>
          </w:p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编制了</w:t>
            </w:r>
            <w:r>
              <w:rPr>
                <w:rFonts w:hint="eastAsia" w:ascii="宋体" w:hAnsi="宋体" w:cs="Times New Roman"/>
                <w:color w:val="000000"/>
                <w:szCs w:val="21"/>
                <w:lang w:bidi="ar-SA"/>
              </w:rPr>
              <w:t>《设备管理制度》</w:t>
            </w:r>
            <w:r>
              <w:rPr>
                <w:rFonts w:hint="eastAsia" w:ascii="宋体" w:hAnsi="宋体" w:cs="Times New Roman"/>
                <w:color w:val="000000"/>
                <w:szCs w:val="21"/>
                <w:lang w:eastAsia="zh-CN" w:bidi="ar-SA"/>
              </w:rPr>
              <w:t>、</w:t>
            </w:r>
            <w:r>
              <w:rPr>
                <w:rFonts w:hint="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服务人员工作规范</w:t>
            </w:r>
            <w:r>
              <w:rPr>
                <w:rFonts w:hint="eastAsia"/>
                <w:sz w:val="21"/>
                <w:szCs w:val="21"/>
                <w:lang w:eastAsia="zh-CN"/>
              </w:rPr>
              <w:t>》等作业文件。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需确认过程：销售服务。</w:t>
            </w:r>
          </w:p>
        </w:tc>
        <w:tc>
          <w:tcPr>
            <w:tcW w:w="254" w:type="pc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450" w:type="pct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环境因素识别评价程序的充分性、适宜性</w:t>
            </w:r>
          </w:p>
        </w:tc>
        <w:tc>
          <w:tcPr>
            <w:tcW w:w="412" w:type="pct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EO</w:t>
            </w:r>
            <w:r>
              <w:rPr>
                <w:rFonts w:hint="eastAsia" w:ascii="Times New Roman" w:hAnsi="Times New Roman" w:cs="Times New Roman"/>
                <w:kern w:val="2"/>
                <w:sz w:val="21"/>
                <w:lang w:val="en-US" w:eastAsia="zh-CN" w:bidi="ar-SA"/>
              </w:rPr>
              <w:t>6.1.</w:t>
            </w: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2</w:t>
            </w:r>
          </w:p>
        </w:tc>
        <w:tc>
          <w:tcPr>
            <w:tcW w:w="3882" w:type="pct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提供《环境因素识别</w:t>
            </w: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评价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表》，其中包括办公区等，包括固废排放、火灾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的发生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、</w:t>
            </w: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资源的消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耗、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能源的消耗、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废气排放、</w:t>
            </w: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废水的排放、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噪声排放等。</w:t>
            </w:r>
          </w:p>
          <w:p>
            <w:pP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可以提供《重要环境因素清单》，其中重要环境因素：固体废弃物排放、火灾的发生，评价准确</w:t>
            </w: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rPr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提供</w:t>
            </w:r>
            <w:r>
              <w:rPr>
                <w:rFonts w:hint="eastAsia"/>
                <w:u w:val="none" w:color="auto"/>
              </w:rPr>
              <w:t>《</w:t>
            </w:r>
            <w:r>
              <w:rPr>
                <w:rFonts w:hint="eastAsia"/>
                <w:u w:val="none" w:color="auto"/>
                <w:lang w:val="en-US" w:eastAsia="zh-CN"/>
              </w:rPr>
              <w:t>危险源识别清单</w:t>
            </w:r>
            <w:r>
              <w:rPr>
                <w:rFonts w:hint="eastAsia"/>
                <w:u w:val="none" w:color="auto"/>
              </w:rPr>
              <w:t>》</w:t>
            </w:r>
            <w:r>
              <w:rPr>
                <w:rFonts w:hint="eastAsia"/>
                <w:u w:val="none" w:color="auto"/>
                <w:lang w:eastAsia="zh-CN"/>
              </w:rPr>
              <w:t>，</w:t>
            </w:r>
            <w:r>
              <w:rPr>
                <w:rFonts w:hint="eastAsia"/>
                <w:u w:val="none" w:color="auto"/>
              </w:rPr>
              <w:t>按照活动、区域进行了识别，包括：电脑、打印机、复印机产生的辐射；</w:t>
            </w:r>
            <w:r>
              <w:rPr>
                <w:rFonts w:hint="eastAsia"/>
                <w:u w:val="none" w:color="auto"/>
                <w:lang w:val="en-US" w:eastAsia="zh-CN"/>
              </w:rPr>
              <w:t>电源电器老化损坏、违章用电、地面油污水滑跌倒、障碍物挡路、交通事故</w:t>
            </w:r>
            <w:r>
              <w:rPr>
                <w:rFonts w:hint="eastAsia"/>
                <w:u w:val="none" w:color="auto"/>
              </w:rPr>
              <w:t>等</w:t>
            </w:r>
            <w:r>
              <w:rPr>
                <w:rFonts w:hint="eastAsia"/>
                <w:u w:val="none" w:color="auto"/>
                <w:lang w:eastAsia="zh-CN"/>
              </w:rPr>
              <w:t>，评价</w:t>
            </w:r>
            <w:r>
              <w:rPr>
                <w:rFonts w:hint="eastAsia"/>
                <w:u w:val="none" w:color="auto"/>
              </w:rPr>
              <w:t>基本</w:t>
            </w:r>
            <w:r>
              <w:rPr>
                <w:rFonts w:hint="eastAsia"/>
                <w:u w:val="none" w:color="auto"/>
                <w:lang w:eastAsia="zh-CN"/>
              </w:rPr>
              <w:t>全面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u w:val="none" w:color="auto"/>
              </w:rPr>
              <w:t>提供</w:t>
            </w:r>
            <w:r>
              <w:rPr>
                <w:rFonts w:hint="eastAsia" w:ascii="宋体" w:hAnsi="宋体"/>
                <w:color w:val="auto"/>
                <w:u w:val="none" w:color="auto"/>
              </w:rPr>
              <w:t>《</w:t>
            </w:r>
            <w:r>
              <w:rPr>
                <w:rFonts w:hint="eastAsia"/>
                <w:u w:val="none" w:color="auto"/>
              </w:rPr>
              <w:t>重大危险源清单</w:t>
            </w:r>
            <w:r>
              <w:rPr>
                <w:rFonts w:hint="eastAsia" w:ascii="宋体" w:hAnsi="宋体"/>
                <w:color w:val="auto"/>
                <w:u w:val="none" w:color="auto"/>
              </w:rPr>
              <w:t>》，评价</w:t>
            </w:r>
            <w:r>
              <w:rPr>
                <w:rFonts w:hint="eastAsia"/>
                <w:u w:val="none" w:color="auto"/>
              </w:rPr>
              <w:t>火灾</w:t>
            </w:r>
            <w:r>
              <w:rPr>
                <w:rFonts w:hint="eastAsia"/>
                <w:u w:val="none" w:color="auto"/>
                <w:lang w:eastAsia="zh-CN"/>
              </w:rPr>
              <w:t>、</w:t>
            </w:r>
            <w:r>
              <w:rPr>
                <w:rFonts w:hint="eastAsia"/>
                <w:u w:val="none" w:color="auto"/>
                <w:lang w:val="en-US" w:eastAsia="zh-CN"/>
              </w:rPr>
              <w:t>触电、意外伤害</w:t>
            </w:r>
            <w:r>
              <w:rPr>
                <w:rFonts w:hint="eastAsia" w:ascii="宋体" w:hAnsi="宋体"/>
                <w:color w:val="auto"/>
                <w:u w:val="none" w:color="auto"/>
              </w:rPr>
              <w:t>为不可接受风险，</w:t>
            </w:r>
            <w:r>
              <w:rPr>
                <w:rFonts w:hint="eastAsia"/>
                <w:color w:val="auto"/>
                <w:u w:val="none" w:color="auto"/>
              </w:rPr>
              <w:t>评价准确</w:t>
            </w:r>
            <w:r>
              <w:rPr>
                <w:rFonts w:hint="eastAsia"/>
                <w:u w:val="none" w:color="auto"/>
                <w:lang w:val="en-US" w:eastAsia="zh-CN"/>
              </w:rPr>
              <w:t>。</w:t>
            </w:r>
          </w:p>
        </w:tc>
        <w:tc>
          <w:tcPr>
            <w:tcW w:w="254" w:type="pct"/>
          </w:tcPr>
          <w:p/>
        </w:tc>
      </w:tr>
    </w:tbl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pict>
        <v:shape id="文本框 1" o:spid="_x0000_s2050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ISC-B-I-08 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 xml:space="preserve">Beijing International </w:t>
    </w:r>
    <w:r>
      <w:rPr>
        <w:rStyle w:val="12"/>
        <w:rFonts w:hint="eastAsia"/>
        <w:w w:val="90"/>
      </w:rPr>
      <w:t>WX</w:t>
    </w:r>
    <w:r>
      <w:rPr>
        <w:rStyle w:val="12"/>
        <w:rFonts w:hint="default"/>
        <w:w w:val="90"/>
      </w:rPr>
      <w:t>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235A9"/>
    <w:multiLevelType w:val="singleLevel"/>
    <w:tmpl w:val="335235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05E8B"/>
    <w:rsid w:val="0003373A"/>
    <w:rsid w:val="00035CBA"/>
    <w:rsid w:val="000A0AE0"/>
    <w:rsid w:val="001746DD"/>
    <w:rsid w:val="00195F4E"/>
    <w:rsid w:val="001A2D7F"/>
    <w:rsid w:val="00231EEC"/>
    <w:rsid w:val="00276220"/>
    <w:rsid w:val="002B1259"/>
    <w:rsid w:val="002C6853"/>
    <w:rsid w:val="002F7F21"/>
    <w:rsid w:val="003009D2"/>
    <w:rsid w:val="00323086"/>
    <w:rsid w:val="00337922"/>
    <w:rsid w:val="00340867"/>
    <w:rsid w:val="00380837"/>
    <w:rsid w:val="00410914"/>
    <w:rsid w:val="00447A1D"/>
    <w:rsid w:val="005053BA"/>
    <w:rsid w:val="00536930"/>
    <w:rsid w:val="00550B37"/>
    <w:rsid w:val="00564E53"/>
    <w:rsid w:val="00644FE2"/>
    <w:rsid w:val="00647705"/>
    <w:rsid w:val="0066389F"/>
    <w:rsid w:val="0067002F"/>
    <w:rsid w:val="0067640C"/>
    <w:rsid w:val="00684747"/>
    <w:rsid w:val="006A24C0"/>
    <w:rsid w:val="006E678B"/>
    <w:rsid w:val="007161FC"/>
    <w:rsid w:val="00771141"/>
    <w:rsid w:val="007757F3"/>
    <w:rsid w:val="007B4185"/>
    <w:rsid w:val="007E1F32"/>
    <w:rsid w:val="007E63CD"/>
    <w:rsid w:val="007E6AEB"/>
    <w:rsid w:val="007F2191"/>
    <w:rsid w:val="008038DD"/>
    <w:rsid w:val="008260C3"/>
    <w:rsid w:val="008973EE"/>
    <w:rsid w:val="008A1880"/>
    <w:rsid w:val="008F6209"/>
    <w:rsid w:val="00936F82"/>
    <w:rsid w:val="0094078A"/>
    <w:rsid w:val="00960D4A"/>
    <w:rsid w:val="00964913"/>
    <w:rsid w:val="00971600"/>
    <w:rsid w:val="009973B4"/>
    <w:rsid w:val="009F7EED"/>
    <w:rsid w:val="00A160D6"/>
    <w:rsid w:val="00A551B2"/>
    <w:rsid w:val="00AF0AAB"/>
    <w:rsid w:val="00BF04F3"/>
    <w:rsid w:val="00BF597E"/>
    <w:rsid w:val="00C156D1"/>
    <w:rsid w:val="00C37C07"/>
    <w:rsid w:val="00C51A36"/>
    <w:rsid w:val="00C55228"/>
    <w:rsid w:val="00C64216"/>
    <w:rsid w:val="00C73738"/>
    <w:rsid w:val="00CE315A"/>
    <w:rsid w:val="00D03BFE"/>
    <w:rsid w:val="00D06F59"/>
    <w:rsid w:val="00D10F63"/>
    <w:rsid w:val="00D8340F"/>
    <w:rsid w:val="00D8388C"/>
    <w:rsid w:val="00DE156F"/>
    <w:rsid w:val="00DE6E2D"/>
    <w:rsid w:val="00E33E6A"/>
    <w:rsid w:val="00E934E2"/>
    <w:rsid w:val="00EB0164"/>
    <w:rsid w:val="00EB6C9F"/>
    <w:rsid w:val="00ED0F62"/>
    <w:rsid w:val="00EE7CEA"/>
    <w:rsid w:val="00F64A84"/>
    <w:rsid w:val="00FD19BA"/>
    <w:rsid w:val="00FE3AB1"/>
    <w:rsid w:val="00FF5CB2"/>
    <w:rsid w:val="01FC5F1A"/>
    <w:rsid w:val="0B52157F"/>
    <w:rsid w:val="0E7D7958"/>
    <w:rsid w:val="108219C2"/>
    <w:rsid w:val="330A6E3C"/>
    <w:rsid w:val="3CDE21F3"/>
    <w:rsid w:val="5A194E2A"/>
    <w:rsid w:val="5DC03935"/>
    <w:rsid w:val="5EA12B9A"/>
    <w:rsid w:val="5F5F2106"/>
    <w:rsid w:val="6CD46965"/>
    <w:rsid w:val="78057397"/>
    <w:rsid w:val="79FB51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uiPriority w:val="0"/>
    <w:rPr>
      <w:color w:val="800080"/>
      <w:u w:val="single"/>
    </w:r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info-content-text"/>
    <w:basedOn w:val="7"/>
    <w:uiPriority w:val="0"/>
  </w:style>
  <w:style w:type="character" w:customStyle="1" w:styleId="14">
    <w:name w:val="info-expand-btn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309</Words>
  <Characters>1763</Characters>
  <Lines>14</Lines>
  <Paragraphs>4</Paragraphs>
  <TotalTime>2</TotalTime>
  <ScaleCrop>false</ScaleCrop>
  <LinksUpToDate>false</LinksUpToDate>
  <CharactersWithSpaces>2068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至鱼</cp:lastModifiedBy>
  <dcterms:modified xsi:type="dcterms:W3CDTF">2020-12-15T13:30:33Z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