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sz w:val="24"/>
        </w:rPr>
        <w:t>0656-2020-Q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新乡市天宏贸易有限公司</w:t>
      </w:r>
      <w:bookmarkEnd w:id="1"/>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Xinxiang Tianhong Trading Co., Ltd</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新乡市南环路与引黄路交叉口西北角(2)房</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453000</w:t>
      </w:r>
      <w:bookmarkEnd w:id="4"/>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(英文)：Room 2, northwest corner, intersection of South Ring Road and Yinhuang Road, Xinxiang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新乡市卫滨区黄河大道168号</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453000</w:t>
      </w:r>
      <w:bookmarkEnd w:id="6"/>
    </w:p>
    <w:p>
      <w:pPr>
        <w:pStyle w:val="2"/>
        <w:keepNext w:val="0"/>
        <w:keepLines w:val="0"/>
        <w:pageBreakBefore w:val="0"/>
        <w:widowControl w:val="0"/>
        <w:kinsoku/>
        <w:wordWrap/>
        <w:overflowPunct/>
        <w:topLinePunct w:val="0"/>
        <w:autoSpaceDE/>
        <w:autoSpaceDN/>
        <w:bidi w:val="0"/>
        <w:adjustRightInd/>
        <w:snapToGrid w:val="0"/>
        <w:spacing w:line="40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r>
        <w:rPr>
          <w:rFonts w:hint="eastAsia"/>
          <w:b w:val="0"/>
          <w:bCs/>
          <w:color w:val="000000" w:themeColor="text1"/>
          <w:sz w:val="22"/>
          <w:szCs w:val="22"/>
          <w:lang w:val="en-US" w:eastAsia="zh-CN"/>
        </w:rPr>
        <w:t>No.</w:t>
      </w:r>
      <w:r>
        <w:rPr>
          <w:rFonts w:hint="eastAsia"/>
          <w:b w:val="0"/>
          <w:bCs/>
          <w:color w:val="000000" w:themeColor="text1"/>
          <w:sz w:val="22"/>
          <w:szCs w:val="22"/>
        </w:rPr>
        <w:t xml:space="preserve">168 Huanghe </w:t>
      </w:r>
      <w:r>
        <w:rPr>
          <w:rFonts w:hint="eastAsia"/>
          <w:b w:val="0"/>
          <w:bCs/>
          <w:color w:val="000000" w:themeColor="text1"/>
          <w:sz w:val="22"/>
          <w:szCs w:val="22"/>
          <w:lang w:val="en-US" w:eastAsia="zh-CN"/>
        </w:rPr>
        <w:t>Road</w:t>
      </w:r>
      <w:r>
        <w:rPr>
          <w:rFonts w:hint="eastAsia"/>
          <w:b w:val="0"/>
          <w:bCs/>
          <w:color w:val="000000" w:themeColor="text1"/>
          <w:sz w:val="22"/>
          <w:szCs w:val="22"/>
        </w:rPr>
        <w:t>, Weibin District, Xinxiang City</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9141070367807832X3</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0373-2132190</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exact"/>
        <w:ind w:firstLine="0"/>
        <w:textAlignment w:val="auto"/>
        <w:rPr>
          <w:rFonts w:hint="default" w:eastAsia="宋体"/>
          <w:b w:val="0"/>
          <w:bCs/>
          <w:color w:val="000000" w:themeColor="text1"/>
          <w:sz w:val="22"/>
          <w:szCs w:val="22"/>
          <w:lang w:val="en-US" w:eastAsia="zh-CN"/>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付玉玲</w:t>
      </w:r>
      <w:bookmarkEnd w:id="10"/>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付玉玲</w:t>
      </w:r>
      <w:bookmarkEnd w:id="11"/>
      <w:r>
        <w:rPr>
          <w:rFonts w:hint="eastAsia"/>
          <w:b w:val="0"/>
          <w:bCs/>
          <w:color w:val="000000" w:themeColor="text1"/>
          <w:sz w:val="22"/>
          <w:szCs w:val="22"/>
        </w:rPr>
        <w:t>组织人数：</w:t>
      </w:r>
      <w:r>
        <w:rPr>
          <w:rFonts w:hint="eastAsia"/>
          <w:b w:val="0"/>
          <w:bCs/>
          <w:color w:val="000000" w:themeColor="text1"/>
          <w:sz w:val="22"/>
          <w:szCs w:val="22"/>
          <w:lang w:val="en-US" w:eastAsia="zh-CN"/>
        </w:rPr>
        <w:t>10</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ascii="宋体" w:hAnsi="宋体"/>
          <w:b w:val="0"/>
          <w:bCs/>
          <w:color w:val="000000" w:themeColor="text1"/>
          <w:sz w:val="22"/>
          <w:szCs w:val="22"/>
          <w:u w:val="single"/>
        </w:rPr>
      </w:pPr>
      <w:r>
        <w:rPr>
          <w:rFonts w:hint="eastAsia"/>
          <w:b w:val="0"/>
          <w:bCs/>
          <w:color w:val="000000" w:themeColor="text1"/>
          <w:sz w:val="22"/>
          <w:szCs w:val="22"/>
        </w:rPr>
        <w:t>认证标准：</w:t>
      </w:r>
      <w:bookmarkStart w:id="12" w:name="审核依据"/>
      <w:r>
        <w:rPr>
          <w:rFonts w:hint="eastAsia" w:ascii="宋体" w:hAnsi="宋体"/>
          <w:b w:val="0"/>
          <w:bCs/>
          <w:color w:val="000000" w:themeColor="text1"/>
          <w:sz w:val="22"/>
          <w:szCs w:val="22"/>
          <w:u w:val="single"/>
        </w:rPr>
        <w:t>GB/T19001-2016/ISO9001:2015</w:t>
      </w:r>
      <w:bookmarkEnd w:id="12"/>
      <w:r>
        <w:rPr>
          <w:rFonts w:hint="eastAsia"/>
          <w:b w:val="0"/>
          <w:bCs/>
          <w:color w:val="000000" w:themeColor="text1"/>
          <w:spacing w:val="-2"/>
          <w:sz w:val="22"/>
          <w:szCs w:val="22"/>
        </w:rPr>
        <w:t>认证类型：</w:t>
      </w:r>
      <w:bookmarkStart w:id="13" w:name="审核类型"/>
      <w:r>
        <w:rPr>
          <w:rFonts w:hint="eastAsia"/>
          <w:b w:val="0"/>
          <w:bCs/>
          <w:color w:val="000000" w:themeColor="text1"/>
          <w:spacing w:val="-2"/>
          <w:sz w:val="22"/>
          <w:szCs w:val="22"/>
        </w:rPr>
        <w:t>二阶段</w:t>
      </w:r>
      <w:bookmarkEnd w:id="13"/>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rFonts w:hint="eastAsia"/>
          <w:b w:val="0"/>
          <w:bCs/>
          <w:color w:val="000000" w:themeColor="text1"/>
          <w:sz w:val="22"/>
          <w:szCs w:val="22"/>
        </w:rPr>
      </w:pPr>
      <w:bookmarkStart w:id="14" w:name="审核范围"/>
      <w:r>
        <w:rPr>
          <w:rFonts w:hint="eastAsia"/>
          <w:b w:val="0"/>
          <w:bCs/>
          <w:color w:val="000000" w:themeColor="text1"/>
          <w:sz w:val="22"/>
          <w:szCs w:val="22"/>
          <w:lang w:eastAsia="zh-CN"/>
        </w:rPr>
        <w:t>☑</w:t>
      </w:r>
      <w:r>
        <w:rPr>
          <w:rFonts w:hint="eastAsia"/>
          <w:b w:val="0"/>
          <w:bCs/>
          <w:color w:val="000000" w:themeColor="text1"/>
          <w:sz w:val="22"/>
          <w:szCs w:val="22"/>
        </w:rPr>
        <w:t>QMS</w:t>
      </w:r>
      <w:r>
        <w:rPr>
          <w:rFonts w:hint="eastAsia"/>
          <w:b w:val="0"/>
          <w:bCs/>
          <w:color w:val="000000" w:themeColor="text1"/>
          <w:sz w:val="22"/>
          <w:szCs w:val="22"/>
          <w:lang w:val="en-US" w:eastAsia="zh-CN"/>
        </w:rPr>
        <w:t>:</w:t>
      </w:r>
      <w:r>
        <w:rPr>
          <w:rFonts w:hint="eastAsia"/>
          <w:b w:val="0"/>
          <w:bCs/>
          <w:color w:val="000000" w:themeColor="text1"/>
          <w:sz w:val="22"/>
          <w:szCs w:val="22"/>
        </w:rPr>
        <w:t>电源材料（氧化镉、镉的化合物、锌合金）的销售</w:t>
      </w:r>
      <w:bookmarkEnd w:id="14"/>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r>
        <w:rPr>
          <w:rFonts w:hint="eastAsia"/>
          <w:b w:val="0"/>
          <w:bCs/>
          <w:color w:val="000000" w:themeColor="text1"/>
          <w:sz w:val="22"/>
          <w:szCs w:val="22"/>
        </w:rPr>
        <w:t>英文：Sales of power supply materials (cadmium oxide, cadmium compound, zinc alloys)</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bookmarkStart w:id="15" w:name="_GoBack"/>
      <w:bookmarkEnd w:id="15"/>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85535" cy="8804910"/>
            <wp:effectExtent l="0" t="0" r="12065" b="8890"/>
            <wp:docPr id="3" name="图片 3" descr="新文档 2020-12-03 09.32.03_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新文档 2020-12-03 09.32.03_17"/>
                    <pic:cNvPicPr>
                      <a:picLocks noChangeAspect="1"/>
                    </pic:cNvPicPr>
                  </pic:nvPicPr>
                  <pic:blipFill>
                    <a:blip r:embed="rId5"/>
                    <a:stretch>
                      <a:fillRect/>
                    </a:stretch>
                  </pic:blipFill>
                  <pic:spPr>
                    <a:xfrm>
                      <a:off x="0" y="0"/>
                      <a:ext cx="6185535" cy="8804910"/>
                    </a:xfrm>
                    <a:prstGeom prst="rect">
                      <a:avLst/>
                    </a:prstGeom>
                  </pic:spPr>
                </pic:pic>
              </a:graphicData>
            </a:graphic>
          </wp:inline>
        </w:drawing>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772DC1"/>
    <w:multiLevelType w:val="singleLevel"/>
    <w:tmpl w:val="49772D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238613CD"/>
    <w:rsid w:val="32711E0B"/>
    <w:rsid w:val="3CBD3561"/>
    <w:rsid w:val="54E248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4</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2020-12-04T07:50:14Z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