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75"/>
        <w:gridCol w:w="1384"/>
        <w:gridCol w:w="567"/>
        <w:gridCol w:w="1134"/>
        <w:gridCol w:w="284"/>
        <w:gridCol w:w="331"/>
        <w:gridCol w:w="519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山西潞安技术咨询开发研究所有限公司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0622-2019-QEO</w:t>
            </w:r>
            <w:bookmarkEnd w:id="1"/>
          </w:p>
        </w:tc>
        <w:tc>
          <w:tcPr>
            <w:tcW w:w="13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周永乐</w:t>
            </w:r>
            <w:bookmarkEnd w:id="5"/>
          </w:p>
        </w:tc>
        <w:tc>
          <w:tcPr>
            <w:tcW w:w="13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18680837711</w:t>
            </w:r>
            <w:bookmarkEnd w:id="6"/>
          </w:p>
        </w:tc>
        <w:tc>
          <w:tcPr>
            <w:tcW w:w="61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7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68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13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615" w:type="dxa"/>
            <w:gridSpan w:val="2"/>
            <w:vMerge w:val="continue"/>
            <w:vAlign w:val="center"/>
          </w:tcPr>
          <w:p/>
        </w:tc>
        <w:tc>
          <w:tcPr>
            <w:tcW w:w="2173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Q：资质范围内的矿用自救器的检测；计量器具（玻璃转子流量计、数字式频率计、直流数字电压表、电流表、）检定；瓦斯计检测和校准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E：资质范围内的矿用自救器的检测；计量器具（玻璃转子流量计、数字式频率计、直流数字电压表、电流表、）检定；瓦斯计检测和校准所涉及场所相关的环境管理活动</w:t>
            </w:r>
          </w:p>
          <w:p>
            <w:r>
              <w:rPr>
                <w:sz w:val="21"/>
                <w:szCs w:val="21"/>
              </w:rPr>
              <w:t>O：资质范围内的矿用自救器的检测；计量器具（玻璃转子流量计、数字式频率计、直流数字电压表、电流表、）检定；瓦斯计检测和校准所涉及场所相关的职业健康安全管理活动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Q：34.02.00</w:t>
            </w:r>
          </w:p>
          <w:p>
            <w:r>
              <w:t>E：34.02.00</w:t>
            </w:r>
          </w:p>
          <w:p>
            <w:r>
              <w:t>O：34.02.00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2020年11月22日 上午至2020年11月22日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周涛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74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173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49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73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2020.11.20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2020.11.20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73" w:type="dxa"/>
            <w:gridSpan w:val="3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520" w:firstLineChars="11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7005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8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2020.11.22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8：30--12：30</w:t>
            </w:r>
          </w:p>
        </w:tc>
        <w:tc>
          <w:tcPr>
            <w:tcW w:w="70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首次会议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2) 方针的制定与贯彻情况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3) 环境因素的识别和评价程序合理性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4) 危险源的辨识和评价程序合理性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5) 体系覆盖产品及产品生产关键过程、特殊过程的识别和确认情况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6) 质量管理体系删减条款的合理性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7) 适用的法律和其他要求的获取、识别程序实施情况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8) 组织的目标、指标和管理方案合理性及实施情况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9) 组织法律法规的遵循情况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10) 内审和管理评审的实施情况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11) 管理体系文件审核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12）识别二阶段审核的资源配置情况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default" w:ascii="华文细黑" w:hAnsi="华文细黑" w:eastAsia="华文细黑" w:cs="华文细黑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13）末次会议</w:t>
            </w:r>
          </w:p>
        </w:tc>
        <w:tc>
          <w:tcPr>
            <w:tcW w:w="85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13：30--17：30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70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85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7AEF0A86"/>
    <w:multiLevelType w:val="singleLevel"/>
    <w:tmpl w:val="7AEF0A86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E970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2020-11-22T14:13:39Z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