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21994-2025-ECEO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重庆堃铖杰建筑工程有限公司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91500118MA60EWM95C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重庆堃铖杰建筑工程有限公司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重庆市永川区文昌路1号59幢1-5附2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重庆市永川区文昌路1号59幢1-5附2</w:t>
            </w:r>
          </w:p>
          <w:p w:rsidR="002460AB">
            <w:pPr>
              <w:snapToGrid w:val="0"/>
              <w:spacing w:line="0" w:lineRule="atLeast"/>
              <w:jc w:val="left"/>
              <w:rPr>
                <w:sz w:val="21"/>
                <w:szCs w:val="21"/>
              </w:rPr>
            </w:pPr>
            <w:r>
              <w:rPr>
                <w:rFonts w:hint="eastAsia"/>
                <w:sz w:val="21"/>
                <w:szCs w:val="21"/>
              </w:rPr>
              <w:t>G85银昆高速、G93成渝地区环线高速重庆高新区至荣昌区(川渝界)段改扩建工程 G85银昆高速、G93成渝地区环线高速重庆高新区至荣昌区(川渝界)段</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E:资质范围内市政公用工程施工所涉及场所的相关环境管理活动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O:资质范围内市政公用工程施工所涉及场所的相关职业健康安全管理活动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Q:资质范围内市政公用工程施工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重庆堃铖杰建筑工程有限公司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重庆市永川区文昌路1号59幢1-5附2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重庆市永川区文昌路1号59幢1-5附2</w:t>
            </w:r>
          </w:p>
          <w:p w:rsidR="002460AB">
            <w:pPr>
              <w:snapToGrid w:val="0"/>
              <w:spacing w:line="0" w:lineRule="atLeast"/>
              <w:jc w:val="left"/>
              <w:rPr>
                <w:sz w:val="21"/>
                <w:szCs w:val="21"/>
              </w:rPr>
            </w:pPr>
            <w:r>
              <w:rPr>
                <w:rFonts w:hint="eastAsia"/>
                <w:sz w:val="21"/>
                <w:szCs w:val="21"/>
              </w:rPr>
              <w:t>G85银昆高速、G93成渝地区环线高速重庆高新区至荣昌区(川渝界)段改扩建工程 G85银昆高速、G93成渝地区环线高速重庆高新区至荣昌区(川渝界)段</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E:资质范围内市政公用工程施工所涉及场所的相关环境管理活动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O:资质范围内市政公用工程施工所涉及场所的相关职业健康安全管理活动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Q:资质范围内市政公用工程施工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866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