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宜宾华航机械有限责任公司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董立英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widowControl/>
              <w:spacing w:line="360" w:lineRule="auto"/>
              <w:ind w:firstLine="316" w:firstLineChars="15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现场查看未能提供合格供方</w:t>
            </w:r>
            <w:r>
              <w:rPr>
                <w:rFonts w:hint="eastAsia" w:ascii="宋体" w:hAnsi="宋体" w:eastAsia="宋体" w:cs="宋体"/>
                <w:b/>
                <w:bCs/>
                <w:iCs/>
                <w:szCs w:val="21"/>
                <w:highlight w:val="none"/>
              </w:rPr>
              <w:t>自贡发力物资有限公司</w:t>
            </w:r>
            <w:r>
              <w:rPr>
                <w:rFonts w:hint="eastAsia" w:ascii="宋体" w:hAnsi="宋体" w:eastAsia="宋体" w:cs="宋体"/>
                <w:b/>
                <w:bCs/>
                <w:iCs/>
                <w:szCs w:val="21"/>
                <w:highlight w:val="none"/>
                <w:lang w:val="en-US" w:eastAsia="zh-CN"/>
              </w:rPr>
              <w:t>（供应：黑色金属）的评审记录。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CC12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2020-12-07T02:45:39Z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