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hint="eastAsia" w:ascii="楷体" w:hAnsi="楷体" w:eastAsia="楷体" w:cs="Times New Roman"/>
          <w:b/>
          <w:color w:val="000000"/>
          <w:sz w:val="32"/>
          <w:szCs w:val="32"/>
        </w:rPr>
        <w:t>：</w:t>
      </w:r>
      <w:bookmarkStart w:id="0" w:name="组织名称"/>
      <w:r>
        <w:rPr>
          <w:rFonts w:hint="eastAsia" w:ascii="楷体" w:hAnsi="楷体" w:eastAsia="楷体" w:cs="Times New Roman"/>
          <w:b/>
          <w:color w:val="000000"/>
          <w:sz w:val="32"/>
          <w:szCs w:val="32"/>
        </w:rPr>
        <w:t>四川省古蔺铁桥水泥有限责任公司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彭维奇</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简阳市五雄建材有限公司</w:t>
            </w:r>
          </w:p>
        </w:tc>
        <w:tc>
          <w:tcPr>
            <w:tcW w:w="1728" w:type="dxa"/>
            <w:gridSpan w:val="2"/>
            <w:vAlign w:val="center"/>
          </w:tcPr>
          <w:p>
            <w:pPr>
              <w:jc w:val="center"/>
              <w:rPr>
                <w:b/>
                <w:sz w:val="21"/>
                <w:szCs w:val="21"/>
              </w:rPr>
            </w:pPr>
            <w:r>
              <w:rPr>
                <w:b/>
                <w:sz w:val="21"/>
                <w:szCs w:val="21"/>
              </w:rPr>
              <w:t>16.01.01</w:t>
            </w:r>
          </w:p>
        </w:tc>
        <w:tc>
          <w:tcPr>
            <w:tcW w:w="1729" w:type="dxa"/>
            <w:gridSpan w:val="2"/>
            <w:vAlign w:val="center"/>
          </w:tcPr>
          <w:p>
            <w:pPr>
              <w:jc w:val="center"/>
              <w:rPr>
                <w:b/>
                <w:sz w:val="21"/>
                <w:szCs w:val="21"/>
              </w:rPr>
            </w:pPr>
            <w:r>
              <w:rPr>
                <w:b/>
                <w:sz w:val="21"/>
                <w:szCs w:val="21"/>
              </w:rPr>
              <w:t>ISC-JSZJ-063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四川省古蔺铁桥水泥有限责任公司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古蔺县古蔺镇沙坝村</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646500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古蔺县古蔺镇沙坝村</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646500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古蔺县古蔺镇沙坝村</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646500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孙怀伦</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18989134608</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highlight w:val="none"/>
              </w:rPr>
            </w:pPr>
            <w:bookmarkStart w:id="21" w:name="法人"/>
            <w:r>
              <w:rPr>
                <w:rFonts w:ascii="宋体" w:hAnsi="宋体"/>
                <w:b/>
                <w:sz w:val="21"/>
                <w:szCs w:val="21"/>
                <w:highlight w:val="none"/>
              </w:rPr>
              <w:t>徐承南</w:t>
            </w:r>
            <w:bookmarkEnd w:id="21"/>
          </w:p>
        </w:tc>
        <w:tc>
          <w:tcPr>
            <w:tcW w:w="1109" w:type="dxa"/>
            <w:vAlign w:val="center"/>
          </w:tcPr>
          <w:p>
            <w:pPr>
              <w:jc w:val="center"/>
              <w:rPr>
                <w:rFonts w:ascii="宋体" w:hAnsi="宋体"/>
                <w:b/>
                <w:sz w:val="21"/>
                <w:szCs w:val="21"/>
                <w:highlight w:val="none"/>
              </w:rPr>
            </w:pPr>
            <w:r>
              <w:rPr>
                <w:rFonts w:hint="eastAsia" w:ascii="宋体" w:hAnsi="宋体"/>
                <w:b/>
                <w:sz w:val="21"/>
                <w:szCs w:val="21"/>
                <w:highlight w:val="none"/>
              </w:rPr>
              <w:t>总经理</w:t>
            </w:r>
          </w:p>
        </w:tc>
        <w:tc>
          <w:tcPr>
            <w:tcW w:w="1618" w:type="dxa"/>
            <w:gridSpan w:val="2"/>
          </w:tcPr>
          <w:p>
            <w:pPr>
              <w:rPr>
                <w:rFonts w:ascii="宋体" w:hAnsi="宋体"/>
                <w:b/>
                <w:sz w:val="21"/>
                <w:szCs w:val="21"/>
                <w:highlight w:val="none"/>
              </w:rPr>
            </w:pPr>
            <w:r>
              <w:rPr>
                <w:rFonts w:hint="eastAsia" w:ascii="宋体" w:hAnsi="宋体" w:cs="Times New Roman"/>
                <w:b/>
                <w:color w:val="000000" w:themeColor="text1"/>
                <w:sz w:val="20"/>
                <w:szCs w:val="20"/>
                <w:highlight w:val="none"/>
                <w:lang w:val="en-US" w:eastAsia="zh-CN"/>
              </w:rPr>
              <w:t>李旺军</w:t>
            </w:r>
            <w:r>
              <w:rPr>
                <w:rFonts w:hint="eastAsia" w:ascii="宋体" w:hAnsi="宋体" w:cs="Times New Roman"/>
                <w:b/>
                <w:color w:val="000000" w:themeColor="text1"/>
                <w:sz w:val="20"/>
                <w:szCs w:val="20"/>
                <w:highlight w:val="none"/>
              </w:rPr>
              <w:t xml:space="preserve"> </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孙怀伦</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2020年1</w:t>
            </w:r>
            <w:r>
              <w:rPr>
                <w:rFonts w:hint="eastAsia" w:ascii="宋体" w:hAnsi="宋体"/>
                <w:b/>
                <w:sz w:val="21"/>
                <w:szCs w:val="21"/>
                <w:lang w:val="en-US" w:eastAsia="zh-CN"/>
              </w:rPr>
              <w:t>2</w:t>
            </w:r>
            <w:r>
              <w:rPr>
                <w:rFonts w:ascii="宋体" w:hAnsi="宋体"/>
                <w:b/>
                <w:sz w:val="21"/>
                <w:szCs w:val="21"/>
              </w:rPr>
              <w:t>月</w:t>
            </w:r>
            <w:r>
              <w:rPr>
                <w:rFonts w:hint="eastAsia" w:ascii="宋体" w:hAnsi="宋体"/>
                <w:b/>
                <w:sz w:val="21"/>
                <w:szCs w:val="21"/>
                <w:lang w:val="en-US" w:eastAsia="zh-CN"/>
              </w:rPr>
              <w:t>08</w:t>
            </w:r>
            <w:r>
              <w:rPr>
                <w:rFonts w:ascii="宋体" w:hAnsi="宋体"/>
                <w:b/>
                <w:sz w:val="21"/>
                <w:szCs w:val="21"/>
              </w:rPr>
              <w:t>日 上午至2020年1</w:t>
            </w:r>
            <w:r>
              <w:rPr>
                <w:rFonts w:hint="eastAsia" w:ascii="宋体" w:hAnsi="宋体"/>
                <w:b/>
                <w:sz w:val="21"/>
                <w:szCs w:val="21"/>
                <w:lang w:val="en-US" w:eastAsia="zh-CN"/>
              </w:rPr>
              <w:t>2</w:t>
            </w:r>
            <w:r>
              <w:rPr>
                <w:rFonts w:ascii="宋体" w:hAnsi="宋体"/>
                <w:b/>
                <w:sz w:val="21"/>
                <w:szCs w:val="21"/>
              </w:rPr>
              <w:t>月</w:t>
            </w:r>
            <w:r>
              <w:rPr>
                <w:rFonts w:hint="eastAsia" w:ascii="宋体" w:hAnsi="宋体"/>
                <w:b/>
                <w:sz w:val="21"/>
                <w:szCs w:val="21"/>
                <w:lang w:val="en-US" w:eastAsia="zh-CN"/>
              </w:rPr>
              <w:t>08</w:t>
            </w:r>
            <w:r>
              <w:rPr>
                <w:rFonts w:ascii="宋体" w:hAnsi="宋体"/>
                <w:b/>
                <w:sz w:val="21"/>
                <w:szCs w:val="21"/>
              </w:rPr>
              <w:t>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宋体"/>
                <w:b/>
                <w:sz w:val="21"/>
                <w:szCs w:val="21"/>
              </w:rPr>
              <w:t>资质范围内的通用水泥42.5R的生产</w:t>
            </w:r>
            <w:bookmarkEnd w:id="25"/>
            <w:r>
              <w:rPr>
                <w:rFonts w:hint="eastAsia" w:ascii="宋体" w:hAnsi="宋体"/>
                <w:b/>
                <w:sz w:val="21"/>
                <w:szCs w:val="21"/>
              </w:rPr>
              <w:t xml:space="preserve"> </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16.01.01</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cs="Times New Roman"/>
                <w:b/>
                <w:sz w:val="21"/>
                <w:szCs w:val="21"/>
              </w:rPr>
            </w:pPr>
            <w:r>
              <w:rPr>
                <w:rFonts w:ascii="宋体" w:hAnsi="宋体" w:cs="Times New Roman"/>
                <w:b/>
                <w:sz w:val="21"/>
                <w:szCs w:val="21"/>
              </w:rPr>
              <w:t>2023-02-10</w:t>
            </w:r>
          </w:p>
        </w:tc>
        <w:tc>
          <w:tcPr>
            <w:tcW w:w="1672" w:type="dxa"/>
            <w:vAlign w:val="center"/>
          </w:tcPr>
          <w:p>
            <w:pPr>
              <w:spacing w:line="260" w:lineRule="exact"/>
              <w:rPr>
                <w:rFonts w:ascii="宋体" w:hAnsi="宋体" w:cs="Times New Roman"/>
                <w:b/>
                <w:sz w:val="21"/>
                <w:szCs w:val="21"/>
              </w:rPr>
            </w:pPr>
            <w:r>
              <w:rPr>
                <w:rFonts w:hint="eastAsia" w:ascii="宋体" w:hAnsi="宋体" w:cs="Times New Roman"/>
                <w:b/>
                <w:sz w:val="21"/>
                <w:szCs w:val="21"/>
              </w:rPr>
              <w:t>上年度</w:t>
            </w:r>
          </w:p>
          <w:p>
            <w:pPr>
              <w:spacing w:line="260" w:lineRule="exact"/>
              <w:rPr>
                <w:rFonts w:ascii="宋体" w:hAnsi="宋体" w:cs="Times New Roman"/>
                <w:b/>
                <w:sz w:val="21"/>
                <w:szCs w:val="21"/>
              </w:rPr>
            </w:pPr>
            <w:r>
              <w:rPr>
                <w:rFonts w:hint="eastAsia" w:ascii="宋体" w:hAnsi="宋体" w:cs="Times New Roman"/>
                <w:b/>
                <w:sz w:val="21"/>
                <w:szCs w:val="21"/>
              </w:rPr>
              <w:t>审核日期</w:t>
            </w:r>
          </w:p>
        </w:tc>
        <w:tc>
          <w:tcPr>
            <w:tcW w:w="1500" w:type="dxa"/>
          </w:tcPr>
          <w:p>
            <w:pPr>
              <w:spacing w:line="260" w:lineRule="exact"/>
              <w:rPr>
                <w:rFonts w:ascii="宋体" w:hAnsi="宋体" w:cs="Times New Roman"/>
                <w:b/>
                <w:sz w:val="21"/>
                <w:szCs w:val="21"/>
              </w:rPr>
            </w:pPr>
            <w:r>
              <w:rPr>
                <w:rFonts w:ascii="宋体" w:hAnsi="宋体" w:cs="Times New Roman"/>
                <w:b/>
                <w:sz w:val="21"/>
                <w:szCs w:val="21"/>
              </w:rPr>
              <w:t>2019-12-17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2019年12月17日至2020年12月08日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pPr w:leftFromText="180" w:rightFromText="180" w:vertAnchor="text" w:horzAnchor="page" w:tblpX="994" w:tblpY="610"/>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2" w:firstLineChars="200"/>
              <w:rPr>
                <w:b/>
                <w:color w:val="000000" w:themeColor="text1"/>
                <w:sz w:val="20"/>
                <w:szCs w:val="20"/>
              </w:rPr>
            </w:pPr>
            <w:r>
              <w:rPr>
                <w:rFonts w:hint="eastAsia" w:ascii="宋体" w:hAnsi="宋体" w:cs="Times New Roman"/>
                <w:b/>
                <w:sz w:val="21"/>
                <w:szCs w:val="21"/>
              </w:rPr>
              <w:t>组织对内外部因素、相关方需求和期望进行了充分的识别，策划和实施有效。组织确定了体系的边界，基本适用。管理体系全条款适用。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2" w:firstLineChars="200"/>
              <w:rPr>
                <w:b/>
                <w:color w:val="000000" w:themeColor="text1"/>
                <w:sz w:val="20"/>
                <w:szCs w:val="20"/>
              </w:rPr>
            </w:pPr>
            <w:r>
              <w:rPr>
                <w:rFonts w:hint="eastAsia" w:ascii="宋体" w:hAnsi="宋体" w:cs="Times New Roman"/>
                <w:b/>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1" w:firstLineChars="100"/>
              <w:rPr>
                <w:rFonts w:hint="eastAsia" w:eastAsia="宋体"/>
                <w:b/>
                <w:color w:val="000000" w:themeColor="text1"/>
                <w:lang w:val="en-US" w:eastAsia="zh-CN"/>
              </w:rPr>
            </w:pPr>
            <w:r>
              <w:rPr>
                <w:rFonts w:hint="eastAsia" w:ascii="宋体" w:hAnsi="宋体" w:cs="Times New Roman"/>
                <w:b/>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s="Times New Roman"/>
                <w:b/>
                <w:sz w:val="21"/>
                <w:szCs w:val="21"/>
                <w:lang w:eastAsia="zh-CN"/>
              </w:rPr>
              <w:t xml:space="preserve"> </w:t>
            </w:r>
            <w:r>
              <w:rPr>
                <w:rFonts w:hint="eastAsia" w:ascii="宋体" w:hAnsi="宋体" w:cs="Times New Roman"/>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1" w:firstLineChars="100"/>
              <w:rPr>
                <w:rFonts w:ascii="宋体" w:hAnsi="宋体"/>
                <w:color w:val="000000" w:themeColor="text1"/>
              </w:rPr>
            </w:pPr>
            <w:r>
              <w:rPr>
                <w:rFonts w:hint="eastAsia" w:ascii="宋体" w:hAnsi="宋体" w:cs="Times New Roman"/>
                <w:b/>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cs="Times New Roman"/>
                <w:b/>
                <w:sz w:val="21"/>
                <w:szCs w:val="21"/>
              </w:rPr>
              <w:t xml:space="preserve">资质范围内的通用水泥42.5R的生产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cs="Times New Roman"/>
                <w:b/>
                <w:sz w:val="21"/>
                <w:szCs w:val="21"/>
                <w:lang w:val="en-US" w:eastAsia="zh-CN"/>
              </w:rPr>
              <w:t>煅烧</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highlight w:val="none"/>
              </w:rPr>
              <w:pict>
                <v:shape id="_x0000_s2052" o:spid="_x0000_s2052" o:spt="32" type="#_x0000_t32" style="position:absolute;left:0pt;margin-left:55.15pt;margin-top:12.75pt;height:0pt;width:42pt;z-index:25167462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rPr>
              <w:t>8</w:t>
            </w:r>
            <w:r>
              <w:rPr>
                <w:rFonts w:hint="eastAsia" w:ascii="宋体" w:hAnsi="宋体"/>
                <w:b/>
                <w:color w:val="000000" w:themeColor="text1"/>
                <w:sz w:val="20"/>
                <w:szCs w:val="20"/>
                <w:highlight w:val="none"/>
              </w:rPr>
              <w:t>.3    ，不适用理由：</w:t>
            </w:r>
            <w:r>
              <w:rPr>
                <w:rFonts w:hint="eastAsia" w:ascii="宋体" w:hAnsi="宋体" w:cs="Times New Roman"/>
                <w:b/>
                <w:sz w:val="21"/>
                <w:szCs w:val="21"/>
              </w:rPr>
              <w:t>公司资质范围内的通用水泥42.5R的生产依据国家成熟工艺,按国家标准的生产技术要求生产,因此标准8.3条款“产品和服务的设计和开发”要求不适用，不适用</w:t>
            </w:r>
            <w:r>
              <w:rPr>
                <w:rFonts w:hint="eastAsia" w:ascii="宋体" w:hAnsi="宋体" w:cs="Times New Roman"/>
                <w:b/>
                <w:sz w:val="21"/>
                <w:szCs w:val="21"/>
                <w:lang w:eastAsia="zh-CN"/>
              </w:rPr>
              <w:t>理由</w:t>
            </w:r>
            <w:r>
              <w:rPr>
                <w:rFonts w:hint="eastAsia" w:ascii="宋体" w:hAnsi="宋体" w:cs="Times New Roman"/>
                <w:b/>
                <w:sz w:val="21"/>
                <w:szCs w:val="21"/>
              </w:rPr>
              <w:t xml:space="preserve">合理。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tabs>
                <w:tab w:val="left" w:pos="540"/>
              </w:tabs>
              <w:spacing w:line="300" w:lineRule="exact"/>
              <w:ind w:left="201" w:hanging="211" w:hangingChars="100"/>
              <w:rPr>
                <w:rFonts w:hint="eastAsia" w:ascii="宋体" w:hAnsi="宋体" w:cs="Times New Roman"/>
                <w:b/>
                <w:sz w:val="21"/>
                <w:szCs w:val="21"/>
              </w:rPr>
            </w:pPr>
            <w:r>
              <w:rPr>
                <w:rFonts w:hint="eastAsia" w:ascii="宋体" w:hAnsi="宋体" w:cs="Times New Roman"/>
                <w:b/>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tabs>
                <w:tab w:val="left" w:pos="540"/>
              </w:tabs>
              <w:spacing w:line="300" w:lineRule="exact"/>
              <w:ind w:left="201" w:hanging="211" w:hangingChars="100"/>
              <w:rPr>
                <w:rFonts w:hint="eastAsia" w:ascii="宋体" w:hAnsi="宋体" w:cs="Times New Roman"/>
                <w:b/>
                <w:sz w:val="21"/>
                <w:szCs w:val="21"/>
                <w:lang w:val="en-US" w:eastAsia="zh-CN"/>
              </w:rPr>
            </w:pPr>
            <w:r>
              <w:rPr>
                <w:rFonts w:hint="eastAsia" w:ascii="宋体" w:hAnsi="宋体" w:cs="Times New Roman"/>
                <w:b/>
                <w:sz w:val="21"/>
                <w:szCs w:val="21"/>
              </w:rPr>
              <w:t>质量目标</w:t>
            </w:r>
            <w:r>
              <w:rPr>
                <w:rFonts w:hint="eastAsia" w:ascii="宋体" w:hAnsi="宋体" w:cs="Times New Roman"/>
                <w:b/>
                <w:sz w:val="21"/>
                <w:szCs w:val="21"/>
                <w:lang w:val="en-US" w:eastAsia="zh-CN"/>
              </w:rPr>
              <w:t>：</w:t>
            </w:r>
          </w:p>
          <w:p>
            <w:pPr>
              <w:tabs>
                <w:tab w:val="left" w:pos="540"/>
              </w:tabs>
              <w:spacing w:line="300" w:lineRule="exact"/>
              <w:ind w:left="201" w:hanging="211" w:hangingChars="100"/>
              <w:rPr>
                <w:rFonts w:hint="eastAsia" w:ascii="宋体" w:hAnsi="宋体" w:cs="Times New Roman"/>
                <w:b/>
                <w:sz w:val="21"/>
                <w:szCs w:val="21"/>
              </w:rPr>
            </w:pPr>
            <w:r>
              <w:rPr>
                <w:rFonts w:hint="eastAsia" w:ascii="宋体" w:hAnsi="宋体" w:cs="Times New Roman"/>
                <w:b/>
                <w:sz w:val="21"/>
                <w:szCs w:val="21"/>
                <w:lang w:val="en-US" w:eastAsia="zh-CN"/>
              </w:rPr>
              <w:t>1、</w:t>
            </w:r>
            <w:r>
              <w:rPr>
                <w:rFonts w:hint="eastAsia" w:ascii="宋体" w:hAnsi="宋体" w:cs="Times New Roman"/>
                <w:b/>
                <w:sz w:val="21"/>
                <w:szCs w:val="21"/>
              </w:rPr>
              <w:t>一次交验合格率≥95%</w:t>
            </w:r>
          </w:p>
          <w:p>
            <w:pPr>
              <w:tabs>
                <w:tab w:val="left" w:pos="540"/>
              </w:tabs>
              <w:spacing w:line="300" w:lineRule="exact"/>
              <w:ind w:left="201" w:hanging="211" w:hangingChars="100"/>
              <w:rPr>
                <w:rFonts w:hint="eastAsia" w:ascii="宋体" w:hAnsi="宋体" w:cs="Times New Roman"/>
                <w:b/>
                <w:sz w:val="21"/>
                <w:szCs w:val="21"/>
              </w:rPr>
            </w:pPr>
            <w:r>
              <w:rPr>
                <w:rFonts w:hint="eastAsia" w:ascii="宋体" w:hAnsi="宋体" w:cs="Times New Roman"/>
                <w:b/>
                <w:sz w:val="21"/>
                <w:szCs w:val="21"/>
                <w:lang w:val="en-US" w:eastAsia="zh-CN"/>
              </w:rPr>
              <w:t>2、</w:t>
            </w:r>
            <w:r>
              <w:rPr>
                <w:rFonts w:hint="eastAsia" w:ascii="宋体" w:hAnsi="宋体" w:cs="Times New Roman"/>
                <w:b/>
                <w:sz w:val="21"/>
                <w:szCs w:val="21"/>
              </w:rPr>
              <w:t>产品出厂合格率</w:t>
            </w:r>
            <w:r>
              <w:rPr>
                <w:rFonts w:hint="eastAsia" w:ascii="宋体" w:hAnsi="宋体" w:cs="Times New Roman"/>
                <w:b/>
                <w:sz w:val="21"/>
                <w:szCs w:val="21"/>
                <w:lang w:val="en-US" w:eastAsia="zh-CN"/>
              </w:rPr>
              <w:t>达到</w:t>
            </w:r>
            <w:r>
              <w:rPr>
                <w:rFonts w:hint="eastAsia" w:ascii="宋体" w:hAnsi="宋体" w:cs="Times New Roman"/>
                <w:b/>
                <w:sz w:val="21"/>
                <w:szCs w:val="21"/>
              </w:rPr>
              <w:t>100%</w:t>
            </w:r>
          </w:p>
          <w:p>
            <w:pPr>
              <w:tabs>
                <w:tab w:val="left" w:pos="540"/>
              </w:tabs>
              <w:spacing w:line="300" w:lineRule="exact"/>
              <w:ind w:left="201" w:hanging="211" w:hangingChars="100"/>
              <w:rPr>
                <w:rFonts w:ascii="宋体" w:hAnsi="宋体"/>
                <w:b/>
                <w:color w:val="000000" w:themeColor="text1"/>
              </w:rPr>
            </w:pPr>
            <w:r>
              <w:rPr>
                <w:rFonts w:hint="eastAsia" w:ascii="宋体" w:hAnsi="宋体" w:cs="Times New Roman"/>
                <w:b/>
                <w:sz w:val="21"/>
                <w:szCs w:val="21"/>
                <w:lang w:val="en-US" w:eastAsia="zh-CN"/>
              </w:rPr>
              <w:t>3、</w:t>
            </w:r>
            <w:r>
              <w:rPr>
                <w:rFonts w:hint="eastAsia" w:ascii="宋体" w:hAnsi="宋体" w:cs="Times New Roman"/>
                <w:b/>
                <w:sz w:val="21"/>
                <w:szCs w:val="21"/>
              </w:rPr>
              <w:t>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2" w:firstLineChars="200"/>
              <w:rPr>
                <w:rFonts w:ascii="宋体" w:hAnsi="宋体"/>
                <w:b/>
                <w:color w:val="000000" w:themeColor="text1"/>
                <w:sz w:val="20"/>
                <w:szCs w:val="20"/>
              </w:rPr>
            </w:pPr>
            <w:r>
              <w:rPr>
                <w:rFonts w:hint="eastAsia" w:ascii="宋体" w:hAnsi="宋体" w:cs="Times New Roman"/>
                <w:b/>
                <w:sz w:val="21"/>
                <w:szCs w:val="21"/>
              </w:rPr>
              <w:t>公司按照申请认证的标准要求，建立并形成了文件化的</w:t>
            </w:r>
            <w:r>
              <w:rPr>
                <w:rFonts w:hint="eastAsia" w:ascii="宋体" w:hAnsi="宋体" w:cs="Times New Roman"/>
                <w:b/>
                <w:sz w:val="21"/>
                <w:szCs w:val="21"/>
                <w:lang w:eastAsia="zh-CN"/>
              </w:rPr>
              <w:t>质量管理</w:t>
            </w:r>
            <w:r>
              <w:rPr>
                <w:rFonts w:hint="eastAsia" w:ascii="宋体" w:hAnsi="宋体" w:cs="Times New Roman"/>
                <w:b/>
                <w:sz w:val="21"/>
                <w:szCs w:val="21"/>
              </w:rPr>
              <w:t>体系</w:t>
            </w:r>
            <w:r>
              <w:rPr>
                <w:rFonts w:hint="eastAsia" w:ascii="宋体" w:hAnsi="宋体" w:cs="Times New Roman"/>
                <w:b/>
                <w:sz w:val="21"/>
                <w:szCs w:val="21"/>
                <w:lang w:eastAsia="zh-CN"/>
              </w:rPr>
              <w:t>文件</w:t>
            </w:r>
            <w:r>
              <w:rPr>
                <w:rFonts w:hint="eastAsia" w:ascii="宋体" w:hAnsi="宋体" w:cs="Times New Roman"/>
                <w:b/>
                <w:sz w:val="21"/>
                <w:szCs w:val="21"/>
              </w:rPr>
              <w:t>，体系文件对管理体系各过程进行了识别确定、明确了各要素间的相互关系</w:t>
            </w:r>
            <w:r>
              <w:rPr>
                <w:rFonts w:hint="eastAsia" w:ascii="宋体" w:hAnsi="宋体" w:cs="Times New Roman"/>
                <w:b/>
                <w:sz w:val="21"/>
                <w:szCs w:val="21"/>
                <w:highlight w:val="none"/>
              </w:rPr>
              <w:t>及其管控要求。公司体系文件于20</w:t>
            </w:r>
            <w:r>
              <w:rPr>
                <w:rFonts w:hint="eastAsia" w:ascii="宋体" w:hAnsi="宋体" w:cs="Times New Roman"/>
                <w:b/>
                <w:sz w:val="21"/>
                <w:szCs w:val="21"/>
                <w:highlight w:val="none"/>
                <w:lang w:val="en-US" w:eastAsia="zh-CN"/>
              </w:rPr>
              <w:t>19</w:t>
            </w:r>
            <w:r>
              <w:rPr>
                <w:rFonts w:hint="eastAsia" w:ascii="宋体" w:hAnsi="宋体" w:cs="Times New Roman"/>
                <w:b/>
                <w:sz w:val="21"/>
                <w:szCs w:val="21"/>
                <w:highlight w:val="none"/>
              </w:rPr>
              <w:t>年</w:t>
            </w:r>
            <w:r>
              <w:rPr>
                <w:rFonts w:hint="eastAsia" w:ascii="宋体" w:hAnsi="宋体" w:cs="Times New Roman"/>
                <w:b/>
                <w:sz w:val="21"/>
                <w:szCs w:val="21"/>
                <w:highlight w:val="none"/>
                <w:lang w:val="en-US" w:eastAsia="zh-CN"/>
              </w:rPr>
              <w:t>4</w:t>
            </w:r>
            <w:r>
              <w:rPr>
                <w:rFonts w:hint="eastAsia" w:ascii="宋体" w:hAnsi="宋体" w:cs="Times New Roman"/>
                <w:b/>
                <w:sz w:val="21"/>
                <w:szCs w:val="21"/>
                <w:highlight w:val="none"/>
              </w:rPr>
              <w:t>月</w:t>
            </w:r>
            <w:r>
              <w:rPr>
                <w:rFonts w:hint="eastAsia" w:ascii="宋体" w:hAnsi="宋体" w:cs="Times New Roman"/>
                <w:b/>
                <w:sz w:val="21"/>
                <w:szCs w:val="21"/>
                <w:highlight w:val="none"/>
                <w:lang w:val="en-US" w:eastAsia="zh-CN"/>
              </w:rPr>
              <w:t>10</w:t>
            </w:r>
            <w:r>
              <w:rPr>
                <w:rFonts w:hint="eastAsia" w:ascii="宋体" w:hAnsi="宋体" w:cs="Times New Roman"/>
                <w:b/>
                <w:sz w:val="21"/>
                <w:szCs w:val="21"/>
                <w:highlight w:val="none"/>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w:t>
            </w:r>
            <w:r>
              <w:rPr>
                <w:rFonts w:hint="eastAsia" w:ascii="宋体" w:hAnsi="宋体" w:cs="Times New Roman"/>
                <w:b/>
                <w:sz w:val="21"/>
                <w:szCs w:val="21"/>
              </w:rPr>
              <w:t>、具有可追溯性、记录管理易于查阅。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540"/>
              </w:tabs>
              <w:spacing w:line="240" w:lineRule="exact"/>
              <w:ind w:firstLine="422" w:firstLineChars="200"/>
              <w:rPr>
                <w:rFonts w:hint="eastAsia" w:ascii="宋体" w:hAnsi="宋体" w:cs="Times New Roman"/>
                <w:b/>
                <w:sz w:val="21"/>
                <w:szCs w:val="21"/>
              </w:rPr>
            </w:pPr>
            <w:r>
              <w:rPr>
                <w:rFonts w:hint="eastAsia" w:ascii="宋体" w:hAnsi="宋体" w:cs="Times New Roman"/>
                <w:b/>
                <w:sz w:val="21"/>
                <w:szCs w:val="21"/>
              </w:rPr>
              <w:t>组织按管理体系需求配置了充足的人员、设施、监视和测量设备等资源，并建立维持了</w:t>
            </w:r>
            <w:r>
              <w:rPr>
                <w:rFonts w:hint="eastAsia" w:ascii="宋体" w:hAnsi="宋体" w:cs="Times New Roman"/>
                <w:b/>
                <w:sz w:val="21"/>
                <w:szCs w:val="21"/>
                <w:lang w:eastAsia="zh-CN"/>
              </w:rPr>
              <w:t>产品</w:t>
            </w:r>
            <w:r>
              <w:rPr>
                <w:rFonts w:hint="eastAsia" w:ascii="宋体" w:hAnsi="宋体" w:cs="Times New Roman"/>
                <w:b/>
                <w:sz w:val="21"/>
                <w:szCs w:val="21"/>
              </w:rPr>
              <w:t>的生产及相关服务运行环境，可以维持管理体系的正常运行。</w:t>
            </w:r>
          </w:p>
          <w:p>
            <w:pPr>
              <w:tabs>
                <w:tab w:val="left" w:pos="540"/>
              </w:tabs>
              <w:spacing w:line="240" w:lineRule="exact"/>
              <w:ind w:firstLine="422" w:firstLineChars="200"/>
              <w:rPr>
                <w:rFonts w:ascii="宋体" w:hAnsi="宋体"/>
                <w:b/>
                <w:color w:val="000000" w:themeColor="text1"/>
                <w:sz w:val="20"/>
                <w:szCs w:val="20"/>
              </w:rPr>
            </w:pPr>
            <w:r>
              <w:rPr>
                <w:rFonts w:hint="eastAsia" w:ascii="宋体" w:hAnsi="宋体" w:cs="Times New Roman"/>
                <w:b/>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400" w:lineRule="exact"/>
              <w:ind w:firstLine="422" w:firstLineChars="200"/>
              <w:rPr>
                <w:rFonts w:ascii="宋体" w:hAnsi="宋体"/>
                <w:b/>
                <w:color w:val="000000" w:themeColor="text1"/>
                <w:sz w:val="20"/>
                <w:szCs w:val="20"/>
                <w:highlight w:val="none"/>
              </w:rPr>
            </w:pPr>
            <w:r>
              <w:rPr>
                <w:rFonts w:hint="eastAsia" w:ascii="宋体" w:hAnsi="宋体" w:cs="Times New Roman"/>
                <w:b/>
                <w:sz w:val="21"/>
                <w:szCs w:val="21"/>
              </w:rPr>
              <w:t>厂房面积</w:t>
            </w:r>
            <w:r>
              <w:rPr>
                <w:rFonts w:hint="eastAsia" w:ascii="宋体" w:hAnsi="宋体" w:cs="Times New Roman"/>
                <w:b/>
                <w:sz w:val="21"/>
                <w:szCs w:val="21"/>
                <w:lang w:val="en-US" w:eastAsia="zh-CN"/>
              </w:rPr>
              <w:t>7600</w:t>
            </w:r>
            <w:r>
              <w:rPr>
                <w:rFonts w:hint="eastAsia" w:ascii="宋体" w:hAnsi="宋体" w:cs="Times New Roman"/>
                <w:b/>
                <w:sz w:val="21"/>
                <w:szCs w:val="21"/>
              </w:rPr>
              <w:t>平方米左右，库房</w:t>
            </w:r>
            <w:r>
              <w:rPr>
                <w:rFonts w:hint="eastAsia" w:ascii="宋体" w:hAnsi="宋体" w:cs="Times New Roman"/>
                <w:b/>
                <w:sz w:val="21"/>
                <w:szCs w:val="21"/>
                <w:lang w:eastAsia="zh-CN"/>
              </w:rPr>
              <w:t>与生产场所分区</w:t>
            </w:r>
            <w:r>
              <w:rPr>
                <w:rFonts w:hint="eastAsia" w:ascii="宋体" w:hAnsi="宋体" w:cs="Times New Roman"/>
                <w:b/>
                <w:sz w:val="21"/>
                <w:szCs w:val="21"/>
              </w:rPr>
              <w:t>，办公场所面积</w:t>
            </w:r>
            <w:r>
              <w:rPr>
                <w:rFonts w:hint="eastAsia" w:ascii="宋体" w:hAnsi="宋体" w:cs="Times New Roman"/>
                <w:b/>
                <w:sz w:val="21"/>
                <w:szCs w:val="21"/>
                <w:lang w:val="en-US" w:eastAsia="zh-CN"/>
              </w:rPr>
              <w:t>1000</w:t>
            </w:r>
            <w:r>
              <w:rPr>
                <w:rFonts w:hint="eastAsia" w:ascii="宋体" w:hAnsi="宋体" w:cs="Times New Roman"/>
                <w:b/>
                <w:sz w:val="21"/>
                <w:szCs w:val="21"/>
              </w:rPr>
              <w:t>平方米左右.主要生产设备包括</w:t>
            </w:r>
            <w:r>
              <w:rPr>
                <w:rFonts w:hint="eastAsia" w:ascii="宋体" w:hAnsi="宋体" w:cs="Times New Roman"/>
                <w:b/>
                <w:sz w:val="21"/>
                <w:szCs w:val="21"/>
                <w:lang w:eastAsia="zh-CN"/>
              </w:rPr>
              <w:t>：</w:t>
            </w:r>
            <w:r>
              <w:rPr>
                <w:rFonts w:hint="eastAsia" w:ascii="宋体" w:hAnsi="宋体" w:cs="Times New Roman"/>
                <w:b/>
                <w:sz w:val="21"/>
                <w:szCs w:val="21"/>
                <w:lang w:val="en-US" w:eastAsia="zh-CN"/>
              </w:rPr>
              <w:t>反击式破碎机、喂料机、皮带输送机、收尘器、除尘器、各类风机、回转窑、增湿塔、分解炉、冷却机59台套</w:t>
            </w:r>
            <w:r>
              <w:rPr>
                <w:rFonts w:hint="eastAsia" w:ascii="宋体" w:hAnsi="宋体" w:cs="Times New Roman"/>
                <w:b/>
                <w:sz w:val="21"/>
                <w:szCs w:val="21"/>
                <w:lang w:eastAsia="zh-CN"/>
              </w:rPr>
              <w:t>，可以</w:t>
            </w:r>
            <w:r>
              <w:rPr>
                <w:rFonts w:hint="eastAsia" w:ascii="宋体" w:hAnsi="宋体" w:cs="Times New Roman"/>
                <w:b/>
                <w:sz w:val="21"/>
                <w:szCs w:val="21"/>
              </w:rPr>
              <w:t>满足生产需要。对设备按月方式进行点检维护保养，并实施。特种设备：</w:t>
            </w:r>
            <w:r>
              <w:rPr>
                <w:rFonts w:hint="eastAsia" w:ascii="宋体" w:hAnsi="宋体" w:cs="Times New Roman"/>
                <w:b/>
                <w:sz w:val="21"/>
                <w:szCs w:val="21"/>
                <w:lang w:val="en-US" w:eastAsia="zh-CN"/>
              </w:rPr>
              <w:t>储气罐</w:t>
            </w:r>
            <w:r>
              <w:rPr>
                <w:rFonts w:hint="eastAsia" w:ascii="宋体" w:hAnsi="宋体" w:cs="Times New Roman"/>
                <w:b/>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2" w:firstLineChars="200"/>
              <w:rPr>
                <w:rFonts w:ascii="宋体" w:hAnsi="宋体"/>
                <w:b/>
                <w:color w:val="000000" w:themeColor="text1"/>
                <w:sz w:val="20"/>
                <w:szCs w:val="20"/>
              </w:rPr>
            </w:pPr>
            <w:r>
              <w:rPr>
                <w:rFonts w:hint="eastAsia" w:ascii="宋体" w:hAnsi="宋体" w:cs="Times New Roman"/>
                <w:b/>
                <w:sz w:val="21"/>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tabs>
                <w:tab w:val="left" w:pos="540"/>
              </w:tabs>
              <w:spacing w:line="240" w:lineRule="exact"/>
              <w:ind w:firstLine="422" w:firstLineChars="200"/>
              <w:rPr>
                <w:rFonts w:hint="default" w:ascii="宋体" w:hAnsi="宋体" w:eastAsia="宋体"/>
                <w:b/>
                <w:color w:val="000000" w:themeColor="text1"/>
                <w:sz w:val="20"/>
                <w:szCs w:val="20"/>
                <w:highlight w:val="none"/>
                <w:lang w:val="en-US" w:eastAsia="zh-CN"/>
              </w:rPr>
            </w:pPr>
            <w:r>
              <w:rPr>
                <w:rFonts w:hint="eastAsia" w:ascii="宋体" w:hAnsi="宋体" w:cs="Times New Roman"/>
                <w:b/>
                <w:sz w:val="21"/>
                <w:szCs w:val="21"/>
              </w:rPr>
              <w:t>生产车间及检验部门均按策划的要求配置了相应的检测设备，均采用委外送检的方式</w:t>
            </w:r>
            <w:r>
              <w:rPr>
                <w:rFonts w:hint="eastAsia" w:ascii="宋体" w:hAnsi="宋体" w:cs="Times New Roman"/>
                <w:b/>
                <w:sz w:val="21"/>
                <w:szCs w:val="21"/>
                <w:lang w:eastAsia="zh-CN"/>
              </w:rPr>
              <w:t>，</w:t>
            </w:r>
            <w:r>
              <w:rPr>
                <w:rFonts w:hint="eastAsia" w:ascii="宋体" w:hAnsi="宋体" w:cs="Times New Roman"/>
                <w:b/>
                <w:sz w:val="21"/>
                <w:szCs w:val="21"/>
                <w:lang w:val="en-US" w:eastAsia="zh-CN"/>
              </w:rPr>
              <w:t>现场能够提供相应的校准证书。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tabs>
                <w:tab w:val="left" w:pos="540"/>
              </w:tabs>
              <w:spacing w:line="240" w:lineRule="exact"/>
              <w:ind w:firstLine="422" w:firstLineChars="200"/>
              <w:rPr>
                <w:rFonts w:hint="eastAsia" w:ascii="宋体" w:hAnsi="宋体" w:cs="Times New Roman"/>
                <w:b/>
                <w:sz w:val="21"/>
                <w:szCs w:val="21"/>
              </w:rPr>
            </w:pPr>
            <w:r>
              <w:rPr>
                <w:rFonts w:hint="eastAsia" w:ascii="宋体" w:hAnsi="宋体" w:cs="Times New Roman"/>
                <w:b/>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tabs>
                <w:tab w:val="left" w:pos="540"/>
              </w:tabs>
              <w:spacing w:line="240" w:lineRule="exact"/>
              <w:ind w:firstLine="422" w:firstLineChars="200"/>
              <w:rPr>
                <w:rFonts w:ascii="宋体" w:hAnsi="宋体"/>
                <w:b/>
                <w:color w:val="000000" w:themeColor="text1"/>
                <w:sz w:val="20"/>
                <w:szCs w:val="20"/>
              </w:rPr>
            </w:pPr>
            <w:r>
              <w:rPr>
                <w:rFonts w:hint="eastAsia" w:ascii="宋体" w:hAnsi="宋体" w:cs="Times New Roman"/>
                <w:b/>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2" w:firstLineChars="200"/>
              <w:rPr>
                <w:b/>
                <w:color w:val="000000" w:themeColor="text1"/>
                <w:sz w:val="20"/>
                <w:szCs w:val="20"/>
              </w:rPr>
            </w:pPr>
            <w:r>
              <w:rPr>
                <w:rFonts w:hint="eastAsia" w:ascii="宋体" w:hAnsi="宋体" w:cs="Times New Roman"/>
                <w:b/>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300" w:lineRule="exact"/>
              <w:ind w:left="1" w:firstLine="402" w:firstLineChars="200"/>
              <w:rPr>
                <w:rFonts w:hint="eastAsia" w:ascii="宋体" w:hAnsi="宋体" w:cs="Times New Roman"/>
                <w:b/>
                <w:sz w:val="21"/>
                <w:szCs w:val="21"/>
              </w:rPr>
            </w:pPr>
            <w:r>
              <w:rPr>
                <w:rFonts w:hint="eastAsia" w:ascii="楷体_GB2312" w:eastAsia="楷体_GB2312"/>
                <w:b/>
                <w:color w:val="000000" w:themeColor="text1"/>
                <w:sz w:val="20"/>
                <w:szCs w:val="20"/>
              </w:rPr>
              <w:t>内部沟通的情况：内部沟通方式：</w:t>
            </w:r>
            <w:r>
              <w:rPr>
                <w:rFonts w:hint="eastAsia" w:ascii="宋体" w:hAnsi="宋体" w:cs="Times New Roman"/>
                <w:b/>
                <w:sz w:val="21"/>
                <w:szCs w:val="21"/>
              </w:rPr>
              <w:t>在公司内部主要采用电话、会议、面谈等形式就与产品质量、服务有关问题及与质量管理体系有关问题进行沟通，未发生由于沟通不到位而影响工作的情况。</w:t>
            </w:r>
          </w:p>
          <w:p>
            <w:pPr>
              <w:spacing w:line="300" w:lineRule="exact"/>
              <w:ind w:left="1" w:firstLine="422" w:firstLineChars="200"/>
              <w:rPr>
                <w:rFonts w:hint="eastAsia" w:ascii="宋体" w:hAnsi="宋体" w:cs="Times New Roman"/>
                <w:b/>
                <w:sz w:val="21"/>
                <w:szCs w:val="21"/>
              </w:rPr>
            </w:pPr>
            <w:r>
              <w:rPr>
                <w:rFonts w:hint="eastAsia" w:ascii="宋体" w:hAnsi="宋体" w:cs="Times New Roman"/>
                <w:b/>
                <w:sz w:val="21"/>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b/>
                <w:sz w:val="21"/>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2" w:firstLineChars="200"/>
              <w:rPr>
                <w:b/>
                <w:color w:val="000000" w:themeColor="text1"/>
                <w:sz w:val="20"/>
                <w:szCs w:val="20"/>
              </w:rPr>
            </w:pPr>
            <w:r>
              <w:rPr>
                <w:rFonts w:hint="eastAsia" w:ascii="宋体" w:hAnsi="宋体" w:cs="Times New Roman"/>
                <w:b/>
                <w:sz w:val="21"/>
                <w:szCs w:val="21"/>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ind w:left="1" w:firstLine="422" w:firstLineChars="200"/>
              <w:rPr>
                <w:rFonts w:hint="eastAsia" w:ascii="宋体" w:hAnsi="宋体" w:cs="Times New Roman"/>
                <w:b/>
                <w:sz w:val="21"/>
                <w:szCs w:val="21"/>
              </w:rPr>
            </w:pPr>
            <w:r>
              <w:rPr>
                <w:rFonts w:hint="eastAsia" w:ascii="宋体" w:hAnsi="宋体" w:cs="Times New Roman"/>
                <w:b/>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2" w:firstLineChars="200"/>
              <w:rPr>
                <w:b/>
                <w:color w:val="000000" w:themeColor="text1"/>
                <w:sz w:val="20"/>
                <w:szCs w:val="20"/>
              </w:rPr>
            </w:pPr>
            <w:r>
              <w:rPr>
                <w:rFonts w:hint="eastAsia" w:ascii="宋体" w:hAnsi="宋体" w:cs="Times New Roman"/>
                <w:b/>
                <w:sz w:val="21"/>
                <w:szCs w:val="21"/>
                <w:lang w:val="en-US" w:eastAsia="zh-CN"/>
              </w:rPr>
              <w:t>合格，详见附件报告</w:t>
            </w:r>
            <w:r>
              <w:rPr>
                <w:rFonts w:hint="eastAsia" w:ascii="宋体" w:hAnsi="宋体" w:cs="Times New Roman"/>
                <w:b/>
                <w:sz w:val="21"/>
                <w:szCs w:val="21"/>
              </w:rPr>
              <w:t>（</w:t>
            </w: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2" w:firstLineChars="200"/>
              <w:rPr>
                <w:b/>
                <w:color w:val="000000" w:themeColor="text1"/>
                <w:sz w:val="20"/>
                <w:szCs w:val="20"/>
              </w:rPr>
            </w:pPr>
            <w:r>
              <w:rPr>
                <w:rFonts w:hint="eastAsia" w:ascii="宋体" w:hAnsi="宋体" w:cs="Times New Roman"/>
                <w:b/>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4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储气罐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527" w:firstLineChars="250"/>
              <w:rPr>
                <w:b/>
                <w:color w:val="000000" w:themeColor="text1"/>
                <w:sz w:val="20"/>
                <w:szCs w:val="20"/>
                <w:highlight w:val="none"/>
              </w:rPr>
            </w:pPr>
            <w:r>
              <w:rPr>
                <w:rFonts w:hint="eastAsia" w:ascii="宋体" w:hAnsi="宋体" w:cs="Times New Roman"/>
                <w:b/>
                <w:sz w:val="21"/>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Times New Roman"/>
                <w:b/>
                <w:sz w:val="21"/>
                <w:szCs w:val="21"/>
                <w:highlight w:val="none"/>
                <w:lang w:val="en-US" w:eastAsia="zh-CN"/>
              </w:rPr>
              <w:t>20</w:t>
            </w:r>
            <w:r>
              <w:rPr>
                <w:rFonts w:hint="eastAsia" w:ascii="宋体" w:hAnsi="宋体" w:cs="Times New Roman"/>
                <w:b/>
                <w:sz w:val="21"/>
                <w:szCs w:val="21"/>
                <w:highlight w:val="none"/>
              </w:rPr>
              <w:t>年</w:t>
            </w:r>
            <w:r>
              <w:rPr>
                <w:rFonts w:hint="eastAsia" w:ascii="宋体" w:hAnsi="宋体" w:cs="Times New Roman"/>
                <w:b/>
                <w:sz w:val="21"/>
                <w:szCs w:val="21"/>
                <w:highlight w:val="none"/>
                <w:lang w:val="en-US" w:eastAsia="zh-CN"/>
              </w:rPr>
              <w:t>1</w:t>
            </w:r>
            <w:r>
              <w:rPr>
                <w:rFonts w:hint="eastAsia" w:ascii="宋体" w:hAnsi="宋体" w:cs="Times New Roman"/>
                <w:b/>
                <w:sz w:val="21"/>
                <w:szCs w:val="21"/>
                <w:highlight w:val="none"/>
              </w:rPr>
              <w:t>-</w:t>
            </w:r>
            <w:r>
              <w:rPr>
                <w:rFonts w:hint="eastAsia" w:ascii="宋体" w:hAnsi="宋体" w:cs="Times New Roman"/>
                <w:b/>
                <w:sz w:val="21"/>
                <w:szCs w:val="21"/>
                <w:highlight w:val="none"/>
                <w:lang w:val="en-US" w:eastAsia="zh-CN"/>
              </w:rPr>
              <w:t>11</w:t>
            </w:r>
            <w:r>
              <w:rPr>
                <w:rFonts w:hint="eastAsia" w:ascii="宋体" w:hAnsi="宋体" w:cs="Times New Roman"/>
                <w:b/>
                <w:sz w:val="2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20" w:leftChars="50" w:firstLine="316" w:firstLineChars="150"/>
              <w:rPr>
                <w:b/>
                <w:color w:val="000000" w:themeColor="text1"/>
                <w:sz w:val="20"/>
                <w:szCs w:val="20"/>
                <w:highlight w:val="none"/>
              </w:rPr>
            </w:pPr>
            <w:r>
              <w:rPr>
                <w:rFonts w:hint="eastAsia" w:ascii="宋体" w:hAnsi="宋体" w:cs="Times New Roman"/>
                <w:b/>
                <w:sz w:val="21"/>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Times New Roman"/>
                <w:b/>
                <w:sz w:val="21"/>
                <w:szCs w:val="21"/>
                <w:highlight w:val="none"/>
                <w:lang w:val="en-US" w:eastAsia="zh-CN"/>
              </w:rPr>
              <w:t>20</w:t>
            </w:r>
            <w:r>
              <w:rPr>
                <w:rFonts w:hint="eastAsia" w:ascii="宋体" w:hAnsi="宋体" w:cs="Times New Roman"/>
                <w:b/>
                <w:sz w:val="21"/>
                <w:szCs w:val="21"/>
                <w:highlight w:val="none"/>
              </w:rPr>
              <w:t>年</w:t>
            </w:r>
            <w:r>
              <w:rPr>
                <w:rFonts w:hint="eastAsia" w:ascii="宋体" w:hAnsi="宋体" w:cs="Times New Roman"/>
                <w:b/>
                <w:sz w:val="21"/>
                <w:szCs w:val="21"/>
                <w:highlight w:val="none"/>
                <w:lang w:val="en-US" w:eastAsia="zh-CN"/>
              </w:rPr>
              <w:t>6</w:t>
            </w:r>
            <w:r>
              <w:rPr>
                <w:rFonts w:hint="eastAsia" w:ascii="宋体" w:hAnsi="宋体" w:cs="Times New Roman"/>
                <w:b/>
                <w:sz w:val="21"/>
                <w:szCs w:val="21"/>
                <w:highlight w:val="none"/>
              </w:rPr>
              <w:t>月实施，满意度评价</w:t>
            </w:r>
            <w:r>
              <w:rPr>
                <w:rFonts w:hint="eastAsia" w:ascii="宋体" w:hAnsi="宋体" w:cs="Times New Roman"/>
                <w:b/>
                <w:sz w:val="21"/>
                <w:szCs w:val="21"/>
                <w:highlight w:val="none"/>
                <w:lang w:val="en-US" w:eastAsia="zh-CN"/>
              </w:rPr>
              <w:t>97%</w:t>
            </w:r>
            <w:r>
              <w:rPr>
                <w:rFonts w:hint="eastAsia" w:ascii="宋体" w:hAnsi="宋体" w:cs="Times New Roman"/>
                <w:b/>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w:t>
            </w:r>
            <w:r>
              <w:rPr>
                <w:rFonts w:hint="eastAsia"/>
                <w:b/>
                <w:color w:val="000000" w:themeColor="text1"/>
                <w:sz w:val="20"/>
                <w:szCs w:val="20"/>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b/>
                <w:color w:val="FF0000"/>
                <w:sz w:val="20"/>
                <w:szCs w:val="20"/>
                <w:highlight w:val="none"/>
              </w:rPr>
            </w:pPr>
            <w:r>
              <w:rPr>
                <w:rFonts w:hint="eastAsia" w:ascii="宋体" w:hAnsi="宋体" w:cs="Times New Roman"/>
                <w:b/>
                <w:sz w:val="21"/>
                <w:szCs w:val="21"/>
                <w:highlight w:val="none"/>
              </w:rPr>
              <w:t>建立有《内部审核控制程序》，规定了内审频次一年一次，内审时间：</w:t>
            </w:r>
            <w:r>
              <w:rPr>
                <w:rFonts w:hint="eastAsia" w:ascii="宋体" w:hAnsi="宋体" w:eastAsia="宋体" w:cs="Times New Roman"/>
                <w:b/>
                <w:sz w:val="21"/>
                <w:szCs w:val="21"/>
                <w:highlight w:val="none"/>
                <w:lang w:eastAsia="zh-CN"/>
              </w:rPr>
              <w:t>20</w:t>
            </w:r>
            <w:r>
              <w:rPr>
                <w:rFonts w:hint="eastAsia" w:ascii="宋体" w:hAnsi="宋体" w:eastAsia="宋体" w:cs="Times New Roman"/>
                <w:b/>
                <w:sz w:val="21"/>
                <w:szCs w:val="21"/>
                <w:highlight w:val="none"/>
                <w:lang w:val="en-US" w:eastAsia="zh-CN"/>
              </w:rPr>
              <w:t>20</w:t>
            </w:r>
            <w:r>
              <w:rPr>
                <w:rFonts w:hint="eastAsia" w:ascii="宋体" w:hAnsi="宋体" w:eastAsia="宋体" w:cs="Times New Roman"/>
                <w:b/>
                <w:sz w:val="21"/>
                <w:szCs w:val="21"/>
                <w:highlight w:val="none"/>
                <w:lang w:eastAsia="zh-CN"/>
              </w:rPr>
              <w:t>年</w:t>
            </w:r>
            <w:r>
              <w:rPr>
                <w:rFonts w:hint="eastAsia" w:ascii="宋体" w:hAnsi="宋体" w:eastAsia="宋体" w:cs="Times New Roman"/>
                <w:b/>
                <w:sz w:val="21"/>
                <w:szCs w:val="21"/>
                <w:highlight w:val="none"/>
                <w:lang w:val="en-US" w:eastAsia="zh-CN"/>
              </w:rPr>
              <w:t>6</w:t>
            </w:r>
            <w:r>
              <w:rPr>
                <w:rFonts w:hint="eastAsia" w:ascii="宋体" w:hAnsi="宋体" w:eastAsia="宋体" w:cs="Times New Roman"/>
                <w:b/>
                <w:sz w:val="21"/>
                <w:szCs w:val="21"/>
                <w:highlight w:val="none"/>
                <w:lang w:eastAsia="zh-CN"/>
              </w:rPr>
              <w:t>月</w:t>
            </w:r>
            <w:r>
              <w:rPr>
                <w:rFonts w:hint="eastAsia" w:ascii="宋体" w:hAnsi="宋体" w:eastAsia="宋体" w:cs="Times New Roman"/>
                <w:b/>
                <w:sz w:val="21"/>
                <w:szCs w:val="21"/>
                <w:highlight w:val="none"/>
                <w:lang w:val="en-US" w:eastAsia="zh-CN"/>
              </w:rPr>
              <w:t>19</w:t>
            </w:r>
            <w:r>
              <w:rPr>
                <w:rFonts w:hint="eastAsia" w:ascii="宋体" w:hAnsi="宋体" w:eastAsia="宋体" w:cs="Times New Roman"/>
                <w:b/>
                <w:sz w:val="21"/>
                <w:szCs w:val="21"/>
                <w:highlight w:val="none"/>
                <w:lang w:eastAsia="zh-CN"/>
              </w:rPr>
              <w:t>日</w:t>
            </w:r>
            <w:r>
              <w:rPr>
                <w:rFonts w:hint="eastAsia" w:ascii="宋体" w:hAnsi="宋体" w:eastAsia="宋体" w:cs="Times New Roman"/>
                <w:b/>
                <w:sz w:val="21"/>
                <w:szCs w:val="21"/>
                <w:highlight w:val="none"/>
              </w:rPr>
              <w:t>，拟定了审核实施表，明确了内审范围，内审人员经培训合格</w:t>
            </w:r>
            <w:r>
              <w:rPr>
                <w:rFonts w:hint="eastAsia" w:ascii="宋体" w:hAnsi="宋体" w:eastAsia="宋体" w:cs="Times New Roman"/>
                <w:b/>
                <w:sz w:val="21"/>
                <w:szCs w:val="21"/>
                <w:highlight w:val="none"/>
                <w:lang w:val="en-US" w:eastAsia="zh-CN"/>
              </w:rPr>
              <w:t xml:space="preserve">上岗，能力满足要求，未出现审核本部门情况，内审不符合项1项， </w:t>
            </w:r>
            <w:r>
              <w:rPr>
                <w:rFonts w:hint="eastAsia" w:ascii="宋体" w:hAnsi="宋体" w:eastAsia="宋体" w:cs="Times New Roman"/>
                <w:b/>
                <w:sz w:val="21"/>
                <w:szCs w:val="21"/>
                <w:highlight w:val="none"/>
              </w:rPr>
              <w:t>涉及</w:t>
            </w:r>
            <w:r>
              <w:rPr>
                <w:rFonts w:hint="eastAsia" w:ascii="宋体" w:hAnsi="宋体" w:eastAsia="宋体" w:cs="Times New Roman"/>
                <w:b/>
                <w:sz w:val="21"/>
                <w:szCs w:val="21"/>
                <w:highlight w:val="none"/>
                <w:lang w:val="en-US" w:eastAsia="zh-CN"/>
              </w:rPr>
              <w:t>管理层不符合5.2条款，查公司员工对质量方针不熟悉，针对该不符合项，已及时采取纠正措施后，经内审员验证关闭。内审的有效性需要改善。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ind w:firstLine="422" w:firstLineChars="200"/>
              <w:rPr>
                <w:b/>
                <w:color w:val="000000" w:themeColor="text1"/>
                <w:sz w:val="20"/>
                <w:szCs w:val="20"/>
                <w:highlight w:val="none"/>
              </w:rPr>
            </w:pPr>
            <w:r>
              <w:rPr>
                <w:rFonts w:hint="eastAsia" w:ascii="宋体" w:hAnsi="宋体" w:cs="Times New Roman"/>
                <w:b/>
                <w:sz w:val="21"/>
                <w:szCs w:val="21"/>
                <w:highlight w:val="none"/>
              </w:rPr>
              <w:t>管理评审频次为一年一次、本次管理评</w:t>
            </w:r>
            <w:r>
              <w:rPr>
                <w:rFonts w:hint="eastAsia" w:ascii="宋体" w:hAnsi="宋体" w:eastAsia="宋体" w:cs="Times New Roman"/>
                <w:b/>
                <w:sz w:val="21"/>
                <w:szCs w:val="21"/>
                <w:highlight w:val="none"/>
                <w:lang w:val="en-US" w:eastAsia="zh-CN"/>
              </w:rPr>
              <w:t>审于2020年7 月15日由总经理主持完成、提供主要输入材料有各部门总结，输入信息基本充分和满足要求。输出见“</w:t>
            </w:r>
            <w:r>
              <w:rPr>
                <w:rFonts w:hint="eastAsia" w:ascii="宋体" w:hAnsi="宋体" w:cs="Times New Roman"/>
                <w:b/>
                <w:sz w:val="21"/>
                <w:szCs w:val="21"/>
                <w:highlight w:val="none"/>
              </w:rPr>
              <w:t>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2" w:firstLineChars="200"/>
              <w:rPr>
                <w:rFonts w:hint="eastAsia" w:ascii="宋体" w:hAnsi="宋体" w:cs="Times New Roman"/>
                <w:b/>
                <w:sz w:val="21"/>
                <w:szCs w:val="21"/>
              </w:rPr>
            </w:pPr>
            <w:r>
              <w:rPr>
                <w:rFonts w:hint="eastAsia" w:ascii="宋体" w:hAnsi="宋体" w:cs="Times New Roman"/>
                <w:b/>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jc w:val="both"/>
              <w:rPr>
                <w:rFonts w:hint="eastAsia" w:ascii="宋体" w:hAnsi="宋体" w:cs="Times New Roman"/>
                <w:b/>
                <w:sz w:val="21"/>
                <w:szCs w:val="21"/>
              </w:rPr>
            </w:pPr>
            <w:r>
              <w:rPr>
                <w:rFonts w:hint="eastAsia" w:ascii="宋体" w:hAnsi="宋体" w:cs="Times New Roman"/>
                <w:b/>
                <w:sz w:val="21"/>
                <w:szCs w:val="21"/>
                <w:lang w:val="en-US" w:eastAsia="zh-CN"/>
              </w:rPr>
              <w:t>4.</w:t>
            </w:r>
            <w:r>
              <w:rPr>
                <w:rFonts w:hint="eastAsia" w:ascii="宋体" w:hAnsi="宋体" w:cs="Times New Roman"/>
                <w:b/>
                <w:sz w:val="21"/>
                <w:szCs w:val="21"/>
              </w:rPr>
              <w:t xml:space="preserve"> 上次不符合的整改情况（再认证填写）</w:t>
            </w:r>
          </w:p>
          <w:p>
            <w:pPr>
              <w:spacing w:line="240" w:lineRule="exact"/>
              <w:ind w:firstLine="422" w:firstLineChars="200"/>
              <w:jc w:val="both"/>
              <w:rPr>
                <w:rFonts w:hint="default" w:eastAsia="宋体"/>
                <w:b/>
                <w:color w:val="000000" w:themeColor="text1"/>
                <w:szCs w:val="21"/>
                <w:lang w:val="en-US" w:eastAsia="zh-CN"/>
              </w:rPr>
            </w:pPr>
            <w:r>
              <w:rPr>
                <w:rFonts w:hint="eastAsia" w:ascii="宋体" w:hAnsi="宋体" w:cs="Times New Roman"/>
                <w:b/>
                <w:sz w:val="21"/>
                <w:szCs w:val="21"/>
                <w:lang w:val="en-US" w:eastAsia="zh-CN"/>
              </w:rPr>
              <w:t>经验证上次不符合8.2.3条款，本次未出现类视情况。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snapToGrid w:val="0"/>
        <w:spacing w:line="360" w:lineRule="exact"/>
        <w:rPr>
          <w:b/>
          <w:bCs/>
          <w:sz w:val="21"/>
          <w:szCs w:val="28"/>
        </w:rPr>
      </w:pP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Times New Roman" w:hAnsi="Times New Roman" w:eastAsia="宋体" w:cs="Times New Roman"/>
          <w:b/>
          <w:sz w:val="26"/>
          <w:szCs w:val="26"/>
          <w:lang w:eastAsia="zh-CN"/>
        </w:rPr>
        <w:drawing>
          <wp:anchor distT="0" distB="0" distL="114300" distR="114300" simplePos="0" relativeHeight="251675648" behindDoc="0" locked="0" layoutInCell="1" allowOverlap="1">
            <wp:simplePos x="0" y="0"/>
            <wp:positionH relativeFrom="column">
              <wp:posOffset>1917065</wp:posOffset>
            </wp:positionH>
            <wp:positionV relativeFrom="paragraph">
              <wp:posOffset>292100</wp:posOffset>
            </wp:positionV>
            <wp:extent cx="581660" cy="411480"/>
            <wp:effectExtent l="0" t="0" r="8890" b="698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581660" cy="411480"/>
                    </a:xfrm>
                    <a:prstGeom prst="rect">
                      <a:avLst/>
                    </a:prstGeom>
                  </pic:spPr>
                </pic:pic>
              </a:graphicData>
            </a:graphic>
          </wp:anchor>
        </w:drawing>
      </w:r>
      <w:r>
        <w:rPr>
          <w:rFonts w:hint="eastAsia"/>
          <w:b/>
          <w:sz w:val="26"/>
          <w:szCs w:val="26"/>
        </w:rPr>
        <w:t>十二、审核组签字</w:t>
      </w:r>
    </w:p>
    <w:p>
      <w:pPr>
        <w:tabs>
          <w:tab w:val="left" w:pos="645"/>
        </w:tabs>
        <w:spacing w:after="163" w:afterLines="50" w:line="240" w:lineRule="auto"/>
        <w:rPr>
          <w:rFonts w:hint="eastAsia" w:ascii="Times New Roman" w:hAnsi="Times New Roman" w:eastAsia="宋体" w:cs="Times New Roman"/>
          <w:b/>
          <w:sz w:val="26"/>
          <w:szCs w:val="26"/>
          <w:lang w:eastAsia="zh-CN"/>
        </w:rPr>
      </w:pPr>
      <w:r>
        <w:rPr>
          <w:rFonts w:hint="eastAsia" w:ascii="Times New Roman" w:hAnsi="Times New Roman" w:cs="Times New Roman"/>
          <w:b/>
          <w:sz w:val="26"/>
          <w:szCs w:val="26"/>
        </w:rPr>
        <w:t>审核组组长（签名）：</w:t>
      </w:r>
    </w:p>
    <w:p>
      <w:pPr>
        <w:tabs>
          <w:tab w:val="left" w:pos="645"/>
        </w:tabs>
        <w:spacing w:after="163" w:afterLines="50" w:line="240" w:lineRule="auto"/>
        <w:rPr>
          <w:rFonts w:hint="eastAsia" w:ascii="Times New Roman" w:hAnsi="Times New Roman" w:eastAsia="宋体" w:cs="Times New Roman"/>
          <w:b/>
          <w:sz w:val="26"/>
          <w:szCs w:val="26"/>
          <w:lang w:eastAsia="zh-CN"/>
        </w:rPr>
      </w:pPr>
      <w:r>
        <w:rPr>
          <w:rFonts w:hint="eastAsia" w:ascii="Times New Roman" w:hAnsi="Times New Roman" w:eastAsia="宋体" w:cs="Times New Roman"/>
          <w:b/>
          <w:sz w:val="26"/>
          <w:szCs w:val="26"/>
          <w:lang w:eastAsia="zh-CN"/>
        </w:rPr>
        <w:drawing>
          <wp:anchor distT="0" distB="0" distL="114300" distR="114300" simplePos="0" relativeHeight="251676672" behindDoc="0" locked="0" layoutInCell="1" allowOverlap="1">
            <wp:simplePos x="0" y="0"/>
            <wp:positionH relativeFrom="column">
              <wp:posOffset>1908810</wp:posOffset>
            </wp:positionH>
            <wp:positionV relativeFrom="paragraph">
              <wp:posOffset>73025</wp:posOffset>
            </wp:positionV>
            <wp:extent cx="641350" cy="252095"/>
            <wp:effectExtent l="0" t="0" r="6350" b="14605"/>
            <wp:wrapSquare wrapText="bothSides"/>
            <wp:docPr id="2" name="图片 2" descr="彭维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彭维奇"/>
                    <pic:cNvPicPr>
                      <a:picLocks noChangeAspect="1"/>
                    </pic:cNvPicPr>
                  </pic:nvPicPr>
                  <pic:blipFill>
                    <a:blip r:embed="rId7"/>
                    <a:stretch>
                      <a:fillRect/>
                    </a:stretch>
                  </pic:blipFill>
                  <pic:spPr>
                    <a:xfrm>
                      <a:off x="0" y="0"/>
                      <a:ext cx="641350" cy="252095"/>
                    </a:xfrm>
                    <a:prstGeom prst="rect">
                      <a:avLst/>
                    </a:prstGeom>
                  </pic:spPr>
                </pic:pic>
              </a:graphicData>
            </a:graphic>
          </wp:anchor>
        </w:drawing>
      </w:r>
      <w:r>
        <w:rPr>
          <w:rFonts w:hint="eastAsia" w:ascii="Times New Roman" w:hAnsi="Times New Roman" w:cs="Times New Roman"/>
          <w:b/>
          <w:sz w:val="26"/>
          <w:szCs w:val="26"/>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2020.12.08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rFonts w:hint="eastAsia"/>
          <w:b/>
          <w:sz w:val="21"/>
          <w:szCs w:val="21"/>
        </w:rPr>
      </w:pPr>
      <w:r>
        <w:rPr>
          <w:rFonts w:hint="eastAsia"/>
          <w:b/>
          <w:sz w:val="21"/>
          <w:szCs w:val="21"/>
        </w:rPr>
        <w:t>存在问题说明及意见：</w:t>
      </w:r>
    </w:p>
    <w:p>
      <w:pPr>
        <w:spacing w:before="163" w:beforeLines="50" w:line="400" w:lineRule="exact"/>
        <w:rPr>
          <w:rFonts w:hint="eastAsia"/>
          <w:b/>
          <w:sz w:val="21"/>
          <w:szCs w:val="21"/>
        </w:rPr>
      </w:pP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27" w:firstLineChars="700"/>
        <w:rPr>
          <w:rFonts w:hint="eastAsia"/>
          <w:b/>
          <w:sz w:val="21"/>
          <w:szCs w:val="21"/>
        </w:rPr>
      </w:pPr>
      <w:r>
        <w:rPr>
          <w:rFonts w:hint="eastAsia" w:ascii="Times New Roman" w:hAnsi="Times New Roman" w:eastAsia="宋体" w:cs="Times New Roman"/>
          <w:b/>
          <w:sz w:val="26"/>
          <w:szCs w:val="26"/>
          <w:lang w:eastAsia="zh-CN"/>
        </w:rPr>
        <w:drawing>
          <wp:anchor distT="0" distB="0" distL="114300" distR="114300" simplePos="0" relativeHeight="251695104" behindDoc="0" locked="0" layoutInCell="1" allowOverlap="1">
            <wp:simplePos x="0" y="0"/>
            <wp:positionH relativeFrom="column">
              <wp:posOffset>1889760</wp:posOffset>
            </wp:positionH>
            <wp:positionV relativeFrom="paragraph">
              <wp:posOffset>157480</wp:posOffset>
            </wp:positionV>
            <wp:extent cx="486410" cy="344170"/>
            <wp:effectExtent l="0" t="0" r="8890" b="1778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486410" cy="344170"/>
                    </a:xfrm>
                    <a:prstGeom prst="rect">
                      <a:avLst/>
                    </a:prstGeom>
                  </pic:spPr>
                </pic:pic>
              </a:graphicData>
            </a:graphic>
          </wp:anchor>
        </w:drawing>
      </w:r>
      <w:r>
        <w:rPr>
          <w:rFonts w:hint="eastAsia"/>
          <w:b/>
          <w:sz w:val="21"/>
          <w:szCs w:val="21"/>
        </w:rPr>
        <w:t>组长签字：</w:t>
      </w:r>
      <w:bookmarkStart w:id="29" w:name="_GoBack"/>
      <w:bookmarkEnd w:id="29"/>
    </w:p>
    <w:p>
      <w:pPr>
        <w:tabs>
          <w:tab w:val="left" w:pos="6880"/>
          <w:tab w:val="left" w:pos="7740"/>
          <w:tab w:val="left" w:pos="8385"/>
        </w:tabs>
        <w:snapToGrid w:val="0"/>
        <w:spacing w:before="163" w:beforeLines="50"/>
        <w:ind w:firstLine="1476" w:firstLineChars="700"/>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732D1B"/>
    <w:rsid w:val="032D6D49"/>
    <w:rsid w:val="0F20052E"/>
    <w:rsid w:val="10A82568"/>
    <w:rsid w:val="188B0E0F"/>
    <w:rsid w:val="3400388C"/>
    <w:rsid w:val="3BC046E4"/>
    <w:rsid w:val="42E30FD7"/>
    <w:rsid w:val="59934F5D"/>
    <w:rsid w:val="67136D18"/>
    <w:rsid w:val="6DCF7AE8"/>
    <w:rsid w:val="6E713A8C"/>
    <w:rsid w:val="709A36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2020-12-08T02:44:35Z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