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szCs w:val="44"/>
          <w:u w:val="single"/>
        </w:rPr>
        <w:t>0</w:t>
      </w:r>
      <w:r>
        <w:rPr>
          <w:rFonts w:hint="eastAsia"/>
          <w:szCs w:val="44"/>
          <w:u w:val="single"/>
          <w:lang w:val="en-US" w:eastAsia="zh-CN"/>
        </w:rPr>
        <w:t>653</w:t>
      </w:r>
      <w:r>
        <w:rPr>
          <w:rFonts w:hint="eastAsia"/>
          <w:szCs w:val="44"/>
          <w:u w:val="single"/>
        </w:rPr>
        <w:t>-2020-O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安平县瑞奥金属制品有限公司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2020-N1OHSMS-3022240</w:t>
            </w:r>
          </w:p>
        </w:tc>
        <w:tc>
          <w:tcPr>
            <w:tcW w:w="2914" w:type="dxa"/>
            <w:gridSpan w:val="4"/>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安平县瑞奥金属制品有限公司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r>
              <w:t>安平县程油子乡南二合村村南</w:t>
            </w:r>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安平县经济开发区经四路22号</w:t>
            </w:r>
            <w:r>
              <w:t>1#车间</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王闪</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t>13785890908</w:t>
            </w:r>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3" w:name="联系人传真Add1"/>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陆帅</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陆帅</w:t>
            </w:r>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5738449@qq.com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1</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bookmarkStart w:id="4" w:name="审核范围"/>
            <w:r>
              <w:rPr>
                <w:rFonts w:hint="eastAsia" w:ascii="宋体" w:hAnsi="宋体"/>
                <w:szCs w:val="21"/>
              </w:rPr>
              <w:t>声屏障、护栏网的生产，防护网、刺绳、石笼网的销售所涉及场所的职业健康安全管理活动</w:t>
            </w:r>
            <w:bookmarkEnd w:id="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eastAsia" w:cs="Times New Roman"/>
                <w:b w:val="0"/>
                <w:bCs/>
                <w:color w:val="000000"/>
                <w:sz w:val="20"/>
                <w:szCs w:val="20"/>
                <w:lang w:eastAsia="zh-CN"/>
              </w:rPr>
              <w:t>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Cs w:val="21"/>
              </w:rPr>
              <w:t>声屏障、护栏网的生产，防护网、刺绳、石笼网的销售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bookmarkStart w:id="5" w:name="生产地址"/>
            <w:r>
              <w:t>安平县经济开发区经四路22号1#车间</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t>安平县经济开发区经四路22号1#车间</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sz w:val="21"/>
                <w:szCs w:val="21"/>
                <w:lang w:eastAsia="zh-CN"/>
              </w:rPr>
              <w:t>电焊机、</w:t>
            </w:r>
            <w:r>
              <w:rPr>
                <w:rFonts w:hint="eastAsia" w:ascii="宋体" w:hAnsi="宋体"/>
                <w:sz w:val="21"/>
                <w:szCs w:val="21"/>
                <w:lang w:val="en-US" w:eastAsia="zh-CN"/>
              </w:rPr>
              <w:t>护栏网机、冲床、切割机、办公设备</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面积1000平米，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声屏障、护栏网的生产，防护网、刺绳、石笼网的销售所涉及场所的职业健康安全管理活动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2020年11月25日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42AB1"/>
    <w:rsid w:val="31B42522"/>
    <w:rsid w:val="38E377CF"/>
    <w:rsid w:val="45D6200F"/>
    <w:rsid w:val="4C971B61"/>
    <w:rsid w:val="57B57096"/>
    <w:rsid w:val="71111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2020-11-27T01:35:50Z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