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0222-2019-2020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成都安居天下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实业</w:t>
            </w:r>
            <w:r>
              <w:rPr>
                <w:rFonts w:ascii="宋体" w:hAnsi="宋体"/>
                <w:szCs w:val="21"/>
              </w:rPr>
              <w:t>有限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责任</w:t>
            </w:r>
            <w:r>
              <w:rPr>
                <w:rFonts w:ascii="宋体" w:hAnsi="宋体"/>
                <w:szCs w:val="21"/>
              </w:rPr>
              <w:t>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2020.11.27上午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0222-2019-2020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成都安居天下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实业</w:t>
            </w:r>
            <w:r>
              <w:rPr>
                <w:rFonts w:ascii="宋体" w:hAnsi="宋体"/>
                <w:szCs w:val="21"/>
              </w:rPr>
              <w:t>有限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责任</w:t>
            </w:r>
            <w:r>
              <w:rPr>
                <w:rFonts w:ascii="宋体" w:hAnsi="宋体"/>
                <w:szCs w:val="21"/>
              </w:rPr>
              <w:t>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2020.11.27下午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2020.11.27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2020.11.27</w:t>
            </w:r>
            <w:bookmarkStart w:id="2" w:name="_GoBack"/>
            <w:bookmarkEnd w:id="2"/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8653E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胡琳</cp:lastModifiedBy>
  <dcterms:modified xsi:type="dcterms:W3CDTF">2020-11-27T01:45:06Z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