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0179-2019-2020</w:t>
      </w:r>
      <w:bookmarkEnd w:id="0"/>
    </w:p>
    <w:tbl>
      <w:tblPr>
        <w:tblStyle w:val="6"/>
        <w:tblpPr w:leftFromText="181" w:rightFromText="181" w:vertAnchor="text" w:horzAnchor="margin" w:tblpXSpec="center" w:tblpY="1"/>
        <w:tblOverlap w:val="never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黑龙江吉纳森生物工程股份有限公司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J4971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50-75mm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5"/>
                <w:szCs w:val="15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5.12-100mm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20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20.11.11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数字万用表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C181035624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UT39A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U  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多功能标准源V\A\M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20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20.11.13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K18L050620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±0.02mm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5"/>
                <w:szCs w:val="15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10-291.8mm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20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20.11.11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02824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0-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2.5</w:t>
            </w:r>
            <w:r>
              <w:rPr>
                <w:rFonts w:hint="eastAsia"/>
                <w:color w:val="0000FF"/>
                <w:sz w:val="15"/>
                <w:szCs w:val="15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数字压力表0-6MPa0.05级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20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20.11.16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color w:val="0000FF"/>
                <w:sz w:val="15"/>
                <w:szCs w:val="15"/>
              </w:rPr>
              <w:t>6809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0-1.6MPa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数字压力表0-6MPa0.05级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20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20.11.16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546433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0-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1.6</w:t>
            </w:r>
            <w:r>
              <w:rPr>
                <w:rFonts w:hint="eastAsia"/>
                <w:color w:val="0000FF"/>
                <w:sz w:val="15"/>
                <w:szCs w:val="15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数字压力表0-6MPa0.05级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5"/>
                <w:szCs w:val="15"/>
              </w:rPr>
              <w:t>20</w:t>
            </w:r>
            <w:r>
              <w:rPr>
                <w:rFonts w:hint="eastAsia"/>
                <w:color w:val="0000FF"/>
                <w:sz w:val="15"/>
                <w:szCs w:val="15"/>
                <w:lang w:val="en-US" w:eastAsia="zh-CN"/>
              </w:rPr>
              <w:t>20.11.16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/>
                <w:szCs w:val="21"/>
              </w:rPr>
              <w:t>黑龙江吉纳森生物工程股份有限公司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有相应资质的机构(</w:t>
            </w:r>
            <w:r>
              <w:rPr>
                <w:rFonts w:hint="eastAsia" w:ascii="宋体" w:hAnsi="宋体" w:eastAsia="宋体" w:cs="Times New Roman"/>
                <w:szCs w:val="21"/>
              </w:rPr>
              <w:t>大庆油田计量检定测试所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2020年11月22日 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B34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cp:lastPrinted>2020-11-30T13:06:45Z</cp:lastPrinted>
  <dcterms:modified xsi:type="dcterms:W3CDTF">2020-11-30T14:52:11Z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