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112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7-2020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电镀液PH值测量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过程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能源环保部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3.5-4.0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±0.08PH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±0</w:t>
            </w:r>
            <w:r>
              <w:rPr>
                <w:rFonts w:hint="eastAsia"/>
                <w:lang w:val="en-US" w:eastAsia="zh-CN"/>
              </w:rPr>
              <w:t>.2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PH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数显PH计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(0～14)PH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0.06PH</w:t>
            </w:r>
          </w:p>
        </w:tc>
        <w:tc>
          <w:tcPr>
            <w:tcW w:w="1452" w:type="dxa"/>
            <w:gridSpan w:val="2"/>
            <w:vAlign w:val="top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2014-003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电镀液PH值测量</w:t>
            </w:r>
            <w:r>
              <w:rPr>
                <w:rFonts w:hint="eastAsia" w:ascii="Times New Roman" w:hAnsi="Times New Roman"/>
                <w:lang w:val="en-US" w:eastAsia="zh-CN"/>
              </w:rPr>
              <w:t>作业指导书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2014-003 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470" w:firstLineChars="700"/>
              <w:rPr>
                <w:rFonts w:hint="default" w:ascii="Times New Roman" w:hAnsi="Times New Roman" w:eastAsiaTheme="minorEastAsia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lang w:val="en-US" w:eastAsia="zh-CN"/>
              </w:rPr>
              <w:t>凌莉</w:t>
            </w:r>
            <w:bookmarkEnd w:id="0"/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从体系建立至至今，每月使用核查标准进行10次重复测量，记录其示值，生成平均值及标准偏差，形成控制图。图形显示过程稳定受控。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  <w:p/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D0BBB"/>
    <w:rsid w:val="00DE1F4F"/>
    <w:rsid w:val="00DF242C"/>
    <w:rsid w:val="00E81FF0"/>
    <w:rsid w:val="00EC4E7C"/>
    <w:rsid w:val="00EE0D08"/>
    <w:rsid w:val="00F73453"/>
    <w:rsid w:val="0CB60815"/>
    <w:rsid w:val="10844859"/>
    <w:rsid w:val="10FE075A"/>
    <w:rsid w:val="215E56CA"/>
    <w:rsid w:val="300D6BB6"/>
    <w:rsid w:val="31BB4F2E"/>
    <w:rsid w:val="368A5561"/>
    <w:rsid w:val="40FC20FC"/>
    <w:rsid w:val="49CC45C1"/>
    <w:rsid w:val="4F547D8E"/>
    <w:rsid w:val="524139E0"/>
    <w:rsid w:val="58FF3EBE"/>
    <w:rsid w:val="625B53D2"/>
    <w:rsid w:val="64C84113"/>
    <w:rsid w:val="70332EB6"/>
    <w:rsid w:val="74E36780"/>
    <w:rsid w:val="75C17591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2020-11-25T07:43:00Z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