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杭州品尚保安服务有限公司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9"/>
          <w:rFonts w:hint="eastAsia" w:ascii="楷体" w:hAnsi="楷体" w:eastAsia="楷体"/>
          <w:b/>
          <w:sz w:val="36"/>
          <w:szCs w:val="36"/>
        </w:rPr>
        <w:t>www.china-isc.org.cn</w:t>
      </w:r>
      <w:r>
        <w:fldChar w:fldCharType="end"/>
      </w:r>
    </w:p>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6"/>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林兵</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王央央</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任泽华</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35.12.00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GB/T19001-2016/ISO9001:2015</w:t>
      </w:r>
      <w:bookmarkEnd w:id="4"/>
      <w:r>
        <w:rPr>
          <w:rFonts w:hint="eastAsia" w:ascii="宋体" w:hAnsi="宋体"/>
          <w:b/>
          <w:color w:val="000000" w:themeColor="text1"/>
          <w:sz w:val="26"/>
          <w:szCs w:val="26"/>
        </w:rPr>
        <w:t>四、受审核方基本信息</w:t>
      </w:r>
    </w:p>
    <w:tbl>
      <w:tblPr>
        <w:tblStyle w:val="6"/>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杭州品尚保安服务有限公司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101</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浙江省杭州临江高新区科创大道纬五路3688号1幢4楼</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310000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浙江省杭州市余杭区五常街道盛奥铭座2幢2单元13楼</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310000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王香玉</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0571-88970185</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焦德尚</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李顺坡</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保安服务（门卫、巡逻、守护、随身护卫、安全检查）及相关活动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35.12.00</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rPr>
              <w:sym w:font="Wingdings 2" w:char="0052"/>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hint="default" w:ascii="宋体" w:hAnsi="宋体" w:eastAsia="宋体"/>
                <w:b/>
                <w:color w:val="000000" w:themeColor="text1"/>
                <w:sz w:val="20"/>
                <w:szCs w:val="20"/>
                <w:lang w:val="en-US" w:eastAsia="zh-CN"/>
              </w:rPr>
            </w:pPr>
            <w:bookmarkStart w:id="19" w:name="体系运行时间"/>
            <w:bookmarkEnd w:id="19"/>
            <w:r>
              <w:rPr>
                <w:rFonts w:hint="eastAsia" w:ascii="宋体" w:hAnsi="宋体"/>
                <w:b/>
                <w:color w:val="000000" w:themeColor="text1"/>
                <w:sz w:val="20"/>
                <w:szCs w:val="20"/>
                <w:lang w:val="en-US" w:eastAsia="zh-CN"/>
              </w:rPr>
              <w:t>2020-6-1</w:t>
            </w:r>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r>
              <w:rPr>
                <w:rFonts w:hint="eastAsia" w:ascii="宋体" w:hAnsi="宋体"/>
                <w:b/>
                <w:color w:val="000000" w:themeColor="text1"/>
                <w:sz w:val="20"/>
                <w:szCs w:val="20"/>
                <w:lang w:val="en-US" w:eastAsia="zh-CN"/>
              </w:rPr>
              <w:t>见多场所清单</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default"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val="en-US" w:eastAsia="zh-CN"/>
              </w:rPr>
              <w:t>管理层</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cs="宋体" w:asciiTheme="minorEastAsia" w:hAnsiTheme="minorEastAsia" w:eastAsiaTheme="minorEastAsia"/>
                <w:sz w:val="20"/>
                <w:szCs w:val="20"/>
              </w:rPr>
              <w:t>内外部环境、风险识别、资源支持、内审管理</w:t>
            </w:r>
            <w:r>
              <w:rPr>
                <w:rFonts w:hint="eastAsia" w:cs="宋体" w:asciiTheme="minorEastAsia" w:hAnsiTheme="minorEastAsia" w:eastAsiaTheme="minorEastAsia"/>
                <w:sz w:val="20"/>
                <w:szCs w:val="20"/>
                <w:lang w:eastAsia="zh-CN"/>
              </w:rPr>
              <w:t>、</w:t>
            </w:r>
            <w:r>
              <w:rPr>
                <w:rFonts w:hint="eastAsia" w:cs="宋体" w:asciiTheme="minorEastAsia" w:hAnsiTheme="minorEastAsia" w:eastAsiaTheme="minorEastAsia"/>
                <w:sz w:val="20"/>
                <w:szCs w:val="20"/>
              </w:rPr>
              <w:t>管理评审等，与管理层有关的质量管理活动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default"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val="en-US" w:eastAsia="zh-CN"/>
              </w:rPr>
              <w:t>综合办公室</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cs="宋体" w:asciiTheme="minorEastAsia" w:hAnsiTheme="minorEastAsia" w:eastAsiaTheme="minorEastAsia"/>
                <w:sz w:val="20"/>
                <w:szCs w:val="20"/>
                <w:lang w:val="en-US" w:eastAsia="zh-CN"/>
              </w:rPr>
              <w:t>公司办公</w:t>
            </w:r>
            <w:r>
              <w:rPr>
                <w:rFonts w:hint="eastAsia" w:cs="宋体" w:asciiTheme="minorEastAsia" w:hAnsiTheme="minorEastAsia" w:eastAsiaTheme="minorEastAsia"/>
                <w:sz w:val="20"/>
                <w:szCs w:val="20"/>
              </w:rPr>
              <w:t>基础设施、过程环境</w:t>
            </w:r>
            <w:r>
              <w:rPr>
                <w:rFonts w:hint="eastAsia" w:cs="宋体" w:asciiTheme="minorEastAsia" w:hAnsiTheme="minorEastAsia" w:eastAsiaTheme="minorEastAsia"/>
                <w:sz w:val="20"/>
                <w:szCs w:val="20"/>
                <w:lang w:eastAsia="zh-CN"/>
              </w:rPr>
              <w:t>、</w:t>
            </w:r>
            <w:r>
              <w:rPr>
                <w:rFonts w:hint="eastAsia" w:cs="宋体" w:asciiTheme="minorEastAsia" w:hAnsiTheme="minorEastAsia" w:eastAsiaTheme="minorEastAsia"/>
                <w:sz w:val="20"/>
                <w:szCs w:val="20"/>
              </w:rPr>
              <w:t>资源提供与管理过程控制；内外部信息交流过程；</w:t>
            </w:r>
            <w:r>
              <w:rPr>
                <w:rFonts w:hint="eastAsia" w:cs="宋体" w:asciiTheme="minorEastAsia" w:hAnsiTheme="minorEastAsia" w:eastAsiaTheme="minorEastAsia"/>
                <w:sz w:val="20"/>
                <w:szCs w:val="20"/>
                <w:lang w:val="en-US" w:eastAsia="zh-CN"/>
              </w:rPr>
              <w:t>文件管理、</w:t>
            </w:r>
            <w:r>
              <w:rPr>
                <w:rFonts w:hint="eastAsia" w:cs="宋体" w:asciiTheme="minorEastAsia" w:hAnsiTheme="minorEastAsia" w:eastAsiaTheme="minorEastAsia"/>
                <w:sz w:val="20"/>
                <w:szCs w:val="20"/>
              </w:rPr>
              <w:t>内外部信息交流、采购过程、销售过程、客户满意相关等过程；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default"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val="en-US" w:eastAsia="zh-CN"/>
              </w:rPr>
              <w:t>保安部</w:t>
            </w:r>
          </w:p>
        </w:tc>
        <w:tc>
          <w:tcPr>
            <w:tcW w:w="6804" w:type="dxa"/>
            <w:vAlign w:val="top"/>
          </w:tcPr>
          <w:p>
            <w:pPr>
              <w:jc w:val="left"/>
              <w:rPr>
                <w:rFonts w:hint="default"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rPr>
              <w:t>基础设施、过程环境、</w:t>
            </w:r>
            <w:r>
              <w:rPr>
                <w:rFonts w:hint="eastAsia" w:cs="宋体" w:asciiTheme="minorEastAsia" w:hAnsiTheme="minorEastAsia" w:eastAsiaTheme="minorEastAsia"/>
                <w:sz w:val="20"/>
                <w:szCs w:val="20"/>
                <w:lang w:val="en-US" w:eastAsia="zh-CN"/>
              </w:rPr>
              <w:t>服务实</w:t>
            </w:r>
            <w:r>
              <w:rPr>
                <w:rFonts w:hint="eastAsia" w:cs="宋体" w:asciiTheme="minorEastAsia" w:hAnsiTheme="minorEastAsia" w:eastAsiaTheme="minorEastAsia"/>
                <w:sz w:val="20"/>
                <w:szCs w:val="20"/>
              </w:rPr>
              <w:t>现过程控制</w:t>
            </w:r>
            <w:r>
              <w:rPr>
                <w:rFonts w:hint="eastAsia" w:cs="宋体" w:asciiTheme="minorEastAsia" w:hAnsiTheme="minorEastAsia" w:eastAsiaTheme="minorEastAsia"/>
                <w:sz w:val="20"/>
                <w:szCs w:val="20"/>
                <w:lang w:eastAsia="zh-CN"/>
              </w:rPr>
              <w:t>、</w:t>
            </w:r>
            <w:r>
              <w:rPr>
                <w:rFonts w:hint="eastAsia" w:cs="宋体" w:asciiTheme="minorEastAsia" w:hAnsiTheme="minorEastAsia" w:eastAsiaTheme="minorEastAsia"/>
                <w:sz w:val="20"/>
                <w:szCs w:val="20"/>
                <w:lang w:val="en-US" w:eastAsia="zh-CN"/>
              </w:rPr>
              <w:t>服务日常检查、不合格服务工作控制等；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default"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val="en-US" w:eastAsia="zh-CN"/>
              </w:rPr>
              <w:t>教育培训部</w:t>
            </w:r>
          </w:p>
        </w:tc>
        <w:tc>
          <w:tcPr>
            <w:tcW w:w="6804" w:type="dxa"/>
            <w:vAlign w:val="top"/>
          </w:tcPr>
          <w:p>
            <w:pPr>
              <w:jc w:val="left"/>
              <w:rPr>
                <w:rFonts w:hint="default"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rPr>
              <w:t>人力资源管理过程</w:t>
            </w:r>
            <w:r>
              <w:rPr>
                <w:rFonts w:hint="eastAsia" w:cs="宋体" w:asciiTheme="minorEastAsia" w:hAnsiTheme="minorEastAsia" w:eastAsiaTheme="minorEastAsia"/>
                <w:sz w:val="20"/>
                <w:szCs w:val="20"/>
                <w:lang w:eastAsia="zh-CN"/>
              </w:rPr>
              <w:t>、</w:t>
            </w:r>
            <w:r>
              <w:rPr>
                <w:rFonts w:hint="eastAsia" w:cs="宋体" w:asciiTheme="minorEastAsia" w:hAnsiTheme="minorEastAsia" w:eastAsiaTheme="minorEastAsia"/>
                <w:sz w:val="20"/>
                <w:szCs w:val="20"/>
                <w:lang w:val="en-US" w:eastAsia="zh-CN"/>
              </w:rPr>
              <w:t xml:space="preserve">服务人员培训教育过程控制；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1"/>
                <w:szCs w:val="21"/>
                <w:lang w:val="en-US" w:eastAsia="zh-CN" w:bidi="ar-SA"/>
              </w:rPr>
            </w:pPr>
            <w:r>
              <w:rPr>
                <w:rFonts w:hint="eastAsia" w:ascii="宋体" w:hAnsi="宋体"/>
                <w:b/>
                <w:color w:val="000000" w:themeColor="text1"/>
                <w:sz w:val="20"/>
                <w:szCs w:val="20"/>
                <w:lang w:val="en-US" w:eastAsia="zh-CN"/>
              </w:rPr>
              <w:t>财务部</w:t>
            </w:r>
          </w:p>
        </w:tc>
        <w:tc>
          <w:tcPr>
            <w:tcW w:w="6804" w:type="dxa"/>
            <w:vAlign w:val="top"/>
          </w:tcPr>
          <w:p>
            <w:pPr>
              <w:jc w:val="left"/>
              <w:rPr>
                <w:rFonts w:hint="default"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 xml:space="preserve"> 相关财务投入统计等； </w:t>
            </w: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rPr>
                <w:rFonts w:hint="default" w:ascii="Times New Roman" w:hAnsi="Times New Roman" w:cs="Times New Roman"/>
                <w:color w:val="000000"/>
                <w:lang w:val="en-US" w:eastAsia="zh-CN"/>
              </w:rPr>
            </w:pPr>
            <w:r>
              <w:rPr>
                <w:rFonts w:hint="eastAsia" w:ascii="Times New Roman" w:hAnsi="Times New Roman" w:cs="Times New Roman"/>
                <w:color w:val="000000"/>
                <w:lang w:val="en-US" w:eastAsia="zh-CN"/>
              </w:rPr>
              <w:t>杭州市公安分局西湖分局</w:t>
            </w:r>
          </w:p>
        </w:tc>
        <w:tc>
          <w:tcPr>
            <w:tcW w:w="3249" w:type="dxa"/>
            <w:vAlign w:val="top"/>
          </w:tcPr>
          <w:p>
            <w:pPr>
              <w:rPr>
                <w:rFonts w:hint="default" w:ascii="Times New Roman" w:hAnsi="Times New Roman" w:cs="Times New Roman"/>
                <w:color w:val="000000"/>
                <w:lang w:val="en-US" w:eastAsia="zh-CN"/>
              </w:rPr>
            </w:pPr>
            <w:r>
              <w:rPr>
                <w:rFonts w:hint="eastAsia" w:ascii="Times New Roman" w:hAnsi="Times New Roman" w:cs="Times New Roman"/>
                <w:color w:val="000000"/>
                <w:lang w:val="en-US" w:eastAsia="zh-CN"/>
              </w:rPr>
              <w:t>保安服务</w:t>
            </w:r>
          </w:p>
        </w:tc>
        <w:tc>
          <w:tcPr>
            <w:tcW w:w="3555" w:type="dxa"/>
            <w:vAlign w:val="top"/>
          </w:tcPr>
          <w:p>
            <w:pPr>
              <w:rPr>
                <w:rFonts w:hint="default" w:ascii="Times New Roman" w:hAnsi="Times New Roman" w:cs="Times New Roman"/>
                <w:color w:val="000000"/>
                <w:lang w:val="en-US" w:eastAsia="zh-CN"/>
              </w:rPr>
            </w:pPr>
            <w:r>
              <w:rPr>
                <w:rFonts w:hint="eastAsia" w:ascii="Times New Roman" w:hAnsi="Times New Roman" w:cs="Times New Roman"/>
                <w:color w:val="000000"/>
                <w:lang w:val="en-US" w:eastAsia="zh-CN"/>
              </w:rPr>
              <w:t>西湖区晴川街123号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rPr>
                <w:rFonts w:hint="eastAsia" w:ascii="Times New Roman" w:hAnsi="Times New Roman" w:cs="Times New Roman"/>
                <w:color w:val="000000"/>
                <w:lang w:val="en-US" w:eastAsia="zh-CN"/>
              </w:rPr>
            </w:pPr>
            <w:r>
              <w:rPr>
                <w:rFonts w:hint="eastAsia" w:ascii="Times New Roman" w:hAnsi="Times New Roman" w:cs="Times New Roman"/>
                <w:color w:val="000000"/>
                <w:lang w:val="en-US" w:eastAsia="zh-CN"/>
              </w:rPr>
              <w:t>浙江省妇女干部学校</w:t>
            </w:r>
          </w:p>
        </w:tc>
        <w:tc>
          <w:tcPr>
            <w:tcW w:w="3249" w:type="dxa"/>
            <w:vAlign w:val="top"/>
          </w:tcPr>
          <w:p>
            <w:pPr>
              <w:rPr>
                <w:rFonts w:hint="eastAsia" w:ascii="Times New Roman" w:hAnsi="Times New Roman" w:cs="Times New Roman"/>
                <w:color w:val="000000"/>
                <w:lang w:val="en-US" w:eastAsia="zh-CN"/>
              </w:rPr>
            </w:pPr>
            <w:r>
              <w:rPr>
                <w:rFonts w:hint="eastAsia" w:ascii="Times New Roman" w:hAnsi="Times New Roman" w:cs="Times New Roman"/>
                <w:color w:val="000000"/>
                <w:lang w:val="en-US" w:eastAsia="zh-CN"/>
              </w:rPr>
              <w:t>保安服务</w:t>
            </w:r>
          </w:p>
        </w:tc>
        <w:tc>
          <w:tcPr>
            <w:tcW w:w="3555" w:type="dxa"/>
            <w:vAlign w:val="top"/>
          </w:tcPr>
          <w:p>
            <w:pPr>
              <w:rPr>
                <w:rFonts w:hint="eastAsia" w:ascii="Times New Roman" w:hAnsi="Times New Roman" w:cs="Times New Roman"/>
                <w:color w:val="000000"/>
                <w:lang w:val="en-US" w:eastAsia="zh-CN"/>
              </w:rPr>
            </w:pPr>
            <w:r>
              <w:rPr>
                <w:rFonts w:hint="eastAsia" w:ascii="Times New Roman" w:hAnsi="Times New Roman" w:cs="Times New Roman"/>
                <w:color w:val="000000"/>
                <w:lang w:val="en-US" w:eastAsia="zh-CN"/>
              </w:rPr>
              <w:t>西湖区翠苑三区翠柏路10号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hint="eastAsia" w:ascii="Times New Roman" w:hAnsi="Times New Roman" w:cs="Times New Roman"/>
                <w:color w:val="000000"/>
                <w:lang w:val="en-US" w:eastAsia="zh-CN"/>
              </w:rPr>
            </w:pPr>
          </w:p>
        </w:tc>
        <w:tc>
          <w:tcPr>
            <w:tcW w:w="3249" w:type="dxa"/>
          </w:tcPr>
          <w:p>
            <w:pPr>
              <w:rPr>
                <w:rFonts w:hint="eastAsia" w:ascii="Times New Roman" w:hAnsi="Times New Roman" w:cs="Times New Roman"/>
                <w:color w:val="000000"/>
                <w:lang w:val="en-US" w:eastAsia="zh-CN"/>
              </w:rPr>
            </w:pPr>
          </w:p>
        </w:tc>
        <w:tc>
          <w:tcPr>
            <w:tcW w:w="3555" w:type="dxa"/>
          </w:tcPr>
          <w:p>
            <w:pPr>
              <w:rPr>
                <w:rFonts w:hint="eastAsia" w:ascii="Times New Roman" w:hAnsi="Times New Roman" w:cs="Times New Roman"/>
                <w:color w:val="000000"/>
                <w:lang w:val="en-US" w:eastAsia="zh-CN"/>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7"/>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top"/>
          </w:tcPr>
          <w:p>
            <w:pPr>
              <w:rPr>
                <w:rFonts w:hint="default" w:ascii="Times New Roman" w:hAnsi="Times New Roman" w:cs="Times New Roman"/>
                <w:color w:val="000000"/>
                <w:lang w:val="en-US" w:eastAsia="zh-CN"/>
              </w:rPr>
            </w:pPr>
            <w:r>
              <w:rPr>
                <w:rFonts w:hint="eastAsia" w:ascii="Times New Roman" w:hAnsi="Times New Roman" w:cs="Times New Roman"/>
                <w:color w:val="000000"/>
                <w:lang w:val="en-US" w:eastAsia="zh-CN"/>
              </w:rPr>
              <w:t>保安服务</w:t>
            </w:r>
          </w:p>
        </w:tc>
        <w:tc>
          <w:tcPr>
            <w:tcW w:w="2519" w:type="dxa"/>
            <w:vAlign w:val="top"/>
          </w:tcPr>
          <w:p>
            <w:pPr>
              <w:rPr>
                <w:rFonts w:hint="default" w:ascii="Times New Roman" w:hAnsi="Times New Roman" w:cs="Times New Roman"/>
                <w:color w:val="000000"/>
                <w:lang w:val="en-US" w:eastAsia="zh-CN"/>
              </w:rPr>
            </w:pPr>
          </w:p>
        </w:tc>
        <w:tc>
          <w:tcPr>
            <w:tcW w:w="1843" w:type="dxa"/>
            <w:vAlign w:val="top"/>
          </w:tcPr>
          <w:p>
            <w:pPr>
              <w:rPr>
                <w:rFonts w:hint="default" w:ascii="Times New Roman" w:hAnsi="Times New Roman" w:cs="Times New Roman"/>
                <w:color w:val="000000"/>
                <w:lang w:val="en-US" w:eastAsia="zh-CN"/>
              </w:rPr>
            </w:pPr>
          </w:p>
        </w:tc>
        <w:tc>
          <w:tcPr>
            <w:tcW w:w="3543" w:type="dxa"/>
          </w:tcPr>
          <w:p>
            <w:pPr>
              <w:rPr>
                <w:rFonts w:hint="eastAsia" w:ascii="Times New Roman" w:hAnsi="Times New Roman" w:cs="Times New Roman"/>
                <w:color w:val="000000"/>
                <w:lang w:val="en-US" w:eastAsia="zh-CN"/>
              </w:rPr>
            </w:pPr>
            <w:r>
              <w:rPr>
                <w:rFonts w:hint="eastAsia" w:ascii="Times New Roman" w:hAnsi="Times New Roman" w:cs="Times New Roman"/>
                <w:color w:val="000000"/>
                <w:lang w:val="en-US" w:eastAsia="zh-CN"/>
              </w:rPr>
              <w:t>浙江省保安管理条例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30" w:type="dxa"/>
            <w:vAlign w:val="top"/>
          </w:tcPr>
          <w:p>
            <w:pPr>
              <w:rPr>
                <w:rFonts w:hint="eastAsia" w:ascii="Times New Roman" w:hAnsi="Times New Roman" w:cs="Times New Roman"/>
                <w:color w:val="000000"/>
                <w:lang w:val="en-US" w:eastAsia="zh-CN"/>
              </w:rPr>
            </w:pPr>
          </w:p>
        </w:tc>
        <w:tc>
          <w:tcPr>
            <w:tcW w:w="2519" w:type="dxa"/>
            <w:vAlign w:val="top"/>
          </w:tcPr>
          <w:p>
            <w:pPr>
              <w:rPr>
                <w:rFonts w:hint="eastAsia" w:ascii="Times New Roman" w:hAnsi="Times New Roman" w:cs="Times New Roman"/>
                <w:color w:val="000000"/>
                <w:lang w:val="en-US" w:eastAsia="zh-CN"/>
              </w:rPr>
            </w:pPr>
          </w:p>
        </w:tc>
        <w:tc>
          <w:tcPr>
            <w:tcW w:w="1843" w:type="dxa"/>
            <w:vAlign w:val="top"/>
          </w:tcPr>
          <w:p>
            <w:pPr>
              <w:rPr>
                <w:rFonts w:hint="eastAsia" w:ascii="Times New Roman" w:hAnsi="Times New Roman" w:cs="Times New Roman"/>
                <w:color w:val="000000"/>
                <w:lang w:val="en-US" w:eastAsia="zh-CN"/>
              </w:rPr>
            </w:pPr>
          </w:p>
        </w:tc>
        <w:tc>
          <w:tcPr>
            <w:tcW w:w="3543" w:type="dxa"/>
          </w:tcPr>
          <w:p>
            <w:pPr>
              <w:rPr>
                <w:rFonts w:hint="eastAsia" w:ascii="Times New Roman" w:hAnsi="Times New Roman" w:cs="Times New Roman"/>
                <w:color w:val="000000"/>
                <w:lang w:val="en-US" w:eastAsia="zh-CN"/>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b/>
          <w:color w:val="000000" w:themeColor="text1"/>
          <w:spacing w:val="-10"/>
          <w:szCs w:val="21"/>
        </w:rPr>
        <w:t>体系运行开始的</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6</w:t>
      </w:r>
      <w:r>
        <w:rPr>
          <w:rFonts w:hint="eastAsia"/>
          <w:b/>
          <w:color w:val="000000" w:themeColor="text1"/>
          <w:spacing w:val="-10"/>
          <w:szCs w:val="21"/>
        </w:rPr>
        <w:t>月</w:t>
      </w:r>
      <w:bookmarkStart w:id="20" w:name="OLE_LINK1"/>
      <w:r>
        <w:rPr>
          <w:rFonts w:hint="eastAsia"/>
          <w:b/>
          <w:color w:val="000000" w:themeColor="text1"/>
          <w:spacing w:val="-10"/>
          <w:szCs w:val="21"/>
          <w:lang w:val="en-US" w:eastAsia="zh-CN"/>
        </w:rPr>
        <w:t>1</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lang w:val="en-US" w:eastAsia="zh-CN"/>
        </w:rPr>
        <w:t>审核日</w:t>
      </w:r>
      <w:r>
        <w:rPr>
          <w:rFonts w:hint="eastAsia"/>
          <w:b/>
          <w:color w:val="000000" w:themeColor="text1"/>
          <w:spacing w:val="-10"/>
          <w:szCs w:val="21"/>
        </w:rPr>
        <w:t>。</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6"/>
        <w:tblW w:w="9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17" w:type="dxa"/>
            <w:vAlign w:val="top"/>
          </w:tcPr>
          <w:p>
            <w:pPr>
              <w:spacing w:line="240" w:lineRule="exact"/>
              <w:rPr>
                <w:rFonts w:hint="eastAsia"/>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rPr>
                <w:b/>
                <w:color w:val="000000" w:themeColor="text1"/>
                <w:sz w:val="20"/>
                <w:szCs w:val="20"/>
              </w:rPr>
            </w:pPr>
            <w:r>
              <w:rPr>
                <w:rFonts w:hint="eastAsia"/>
                <w:b/>
                <w:color w:val="000000" w:themeColor="text1"/>
                <w:sz w:val="20"/>
                <w:szCs w:val="20"/>
                <w:lang w:val="en-US" w:eastAsia="zh-CN"/>
              </w:rPr>
              <w:t xml:space="preserve">  </w:t>
            </w:r>
            <w:r>
              <w:rPr>
                <w:rFonts w:hint="eastAsia" w:cs="宋体" w:asciiTheme="minorEastAsia" w:hAnsiTheme="minorEastAsia" w:eastAsiaTheme="minorEastAsia"/>
                <w:sz w:val="20"/>
                <w:szCs w:val="20"/>
                <w:lang w:val="en-US" w:eastAsia="zh-CN"/>
              </w:rPr>
              <w:t>在手册4.1条中描述组织及其环境的识别情况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17" w:type="dxa"/>
            <w:vAlign w:val="top"/>
          </w:tcPr>
          <w:p>
            <w:pPr>
              <w:numPr>
                <w:ilvl w:val="0"/>
                <w:numId w:val="2"/>
              </w:numPr>
              <w:spacing w:line="240" w:lineRule="exact"/>
              <w:rPr>
                <w:rFonts w:hint="eastAsia"/>
                <w:b/>
                <w:color w:val="000000" w:themeColor="text1"/>
                <w:sz w:val="20"/>
                <w:szCs w:val="20"/>
              </w:rPr>
            </w:pPr>
            <w:r>
              <w:rPr>
                <w:rFonts w:hint="eastAsia"/>
                <w:b/>
                <w:color w:val="000000" w:themeColor="text1"/>
                <w:sz w:val="20"/>
                <w:szCs w:val="20"/>
              </w:rPr>
              <w:t>相关方需求和期望识别情况</w:t>
            </w:r>
          </w:p>
          <w:p>
            <w:pPr>
              <w:numPr>
                <w:ilvl w:val="0"/>
                <w:numId w:val="0"/>
              </w:numPr>
              <w:spacing w:line="240" w:lineRule="exact"/>
              <w:ind w:left="0" w:leftChars="0" w:firstLine="0" w:firstLineChars="0"/>
              <w:rPr>
                <w:b/>
                <w:color w:val="000000" w:themeColor="text1"/>
                <w:sz w:val="20"/>
                <w:szCs w:val="20"/>
              </w:rPr>
            </w:pPr>
            <w:r>
              <w:rPr>
                <w:rFonts w:hint="eastAsia"/>
                <w:b/>
                <w:color w:val="000000" w:themeColor="text1"/>
                <w:sz w:val="20"/>
                <w:szCs w:val="20"/>
                <w:lang w:val="en-US" w:eastAsia="zh-CN"/>
              </w:rPr>
              <w:t xml:space="preserve">     </w:t>
            </w:r>
            <w:r>
              <w:rPr>
                <w:rFonts w:hint="eastAsia" w:cs="宋体" w:asciiTheme="minorEastAsia" w:hAnsiTheme="minorEastAsia" w:eastAsiaTheme="minorEastAsia"/>
                <w:sz w:val="20"/>
                <w:szCs w:val="20"/>
                <w:lang w:val="en-US" w:eastAsia="zh-CN"/>
              </w:rPr>
              <w:t>手册4.2条中识别相关方的需求和期望。公司的相关方包括：顾客、供方、委托方、员工、政府部门、咨询单位，以及其他人员；公司各相关部门建立管理文件，分别对相关方的需求及期望进行识别确认，并对这类需求 及要求等进行管理及定期更新，保持有效性。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17" w:type="dxa"/>
            <w:vAlign w:val="top"/>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sym w:font="Wingdings 2" w:char="0052"/>
            </w:r>
            <w:r>
              <w:rPr>
                <w:rFonts w:hint="eastAsia" w:ascii="宋体" w:hAnsi="宋体"/>
                <w:b/>
                <w:color w:val="000000" w:themeColor="text1"/>
                <w:sz w:val="20"/>
                <w:szCs w:val="20"/>
              </w:rPr>
              <w:t>质量/</w:t>
            </w:r>
            <w:r>
              <w:rPr>
                <w:rFonts w:hint="eastAsia"/>
                <w:b/>
                <w:color w:val="000000" w:themeColor="text1"/>
                <w:spacing w:val="-10"/>
                <w:sz w:val="20"/>
                <w:szCs w:val="20"/>
              </w:rPr>
              <w:sym w:font="Wingdings 2" w:char="00A3"/>
            </w:r>
            <w:r>
              <w:rPr>
                <w:rFonts w:hint="eastAsia" w:ascii="宋体" w:hAnsi="宋体"/>
                <w:b/>
                <w:color w:val="000000" w:themeColor="text1"/>
                <w:sz w:val="20"/>
                <w:szCs w:val="20"/>
              </w:rPr>
              <w:t>环境/</w:t>
            </w:r>
            <w:r>
              <w:rPr>
                <w:rFonts w:hint="eastAsia"/>
                <w:b/>
                <w:color w:val="000000" w:themeColor="text1"/>
                <w:spacing w:val="-10"/>
                <w:sz w:val="20"/>
                <w:szCs w:val="20"/>
              </w:rPr>
              <w:sym w:font="Wingdings 2" w:char="00A3"/>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ind w:firstLine="400" w:firstLineChars="200"/>
              <w:rPr>
                <w:rFonts w:hint="eastAsia" w:cs="宋体" w:asciiTheme="minorEastAsia" w:hAnsiTheme="minorEastAsia" w:eastAsiaTheme="minorEastAsia"/>
                <w:sz w:val="20"/>
                <w:szCs w:val="20"/>
                <w:lang w:eastAsia="zh-CN"/>
              </w:rPr>
            </w:pPr>
            <w:r>
              <w:rPr>
                <w:rFonts w:hint="eastAsia" w:cs="宋体" w:asciiTheme="minorEastAsia" w:hAnsiTheme="minorEastAsia" w:eastAsiaTheme="minorEastAsia"/>
                <w:sz w:val="20"/>
                <w:szCs w:val="20"/>
                <w:lang w:eastAsia="zh-CN"/>
              </w:rPr>
              <w:t>制定</w:t>
            </w:r>
            <w:r>
              <w:rPr>
                <w:rFonts w:hint="eastAsia" w:cs="宋体" w:asciiTheme="minorEastAsia" w:hAnsiTheme="minorEastAsia" w:eastAsiaTheme="minorEastAsia"/>
                <w:sz w:val="20"/>
                <w:szCs w:val="20"/>
                <w:lang w:val="en-US" w:eastAsia="zh-CN"/>
              </w:rPr>
              <w:t>质量</w:t>
            </w:r>
            <w:r>
              <w:rPr>
                <w:rFonts w:hint="eastAsia" w:cs="宋体" w:asciiTheme="minorEastAsia" w:hAnsiTheme="minorEastAsia" w:eastAsiaTheme="minorEastAsia"/>
                <w:sz w:val="20"/>
                <w:szCs w:val="20"/>
                <w:lang w:eastAsia="zh-CN"/>
              </w:rPr>
              <w:t>方针，</w:t>
            </w:r>
            <w:r>
              <w:rPr>
                <w:rFonts w:hint="eastAsia" w:cs="宋体" w:asciiTheme="minorEastAsia" w:hAnsiTheme="minorEastAsia" w:eastAsiaTheme="minorEastAsia"/>
                <w:sz w:val="20"/>
                <w:szCs w:val="20"/>
                <w:lang w:val="en-US" w:eastAsia="zh-CN"/>
              </w:rPr>
              <w:t>见管理手册</w:t>
            </w:r>
            <w:r>
              <w:rPr>
                <w:rFonts w:hint="eastAsia" w:cs="宋体" w:asciiTheme="minorEastAsia" w:hAnsiTheme="minorEastAsia" w:eastAsiaTheme="minorEastAsia"/>
                <w:sz w:val="20"/>
                <w:szCs w:val="20"/>
                <w:lang w:eastAsia="zh-CN"/>
              </w:rPr>
              <w:t>。</w:t>
            </w:r>
          </w:p>
          <w:p>
            <w:pPr>
              <w:ind w:firstLine="400" w:firstLineChars="200"/>
              <w:rPr>
                <w:rFonts w:hint="eastAsia" w:cs="宋体" w:asciiTheme="minorEastAsia" w:hAnsiTheme="minorEastAsia" w:eastAsiaTheme="minorEastAsia"/>
                <w:sz w:val="20"/>
                <w:szCs w:val="20"/>
                <w:lang w:eastAsia="zh-CN"/>
              </w:rPr>
            </w:pPr>
            <w:r>
              <w:rPr>
                <w:rFonts w:hint="eastAsia" w:cs="宋体" w:asciiTheme="minorEastAsia" w:hAnsiTheme="minorEastAsia" w:eastAsiaTheme="minorEastAsia"/>
                <w:sz w:val="20"/>
                <w:szCs w:val="20"/>
                <w:lang w:eastAsia="zh-CN"/>
              </w:rPr>
              <w:t>通过内部沟通、员工代表参与、管理评审等活动验证组织方针的适宜性和持续适宜性。</w:t>
            </w:r>
          </w:p>
          <w:p>
            <w:pPr>
              <w:ind w:firstLine="400" w:firstLineChars="200"/>
              <w:rPr>
                <w:rFonts w:hint="eastAsia" w:cs="宋体" w:asciiTheme="minorEastAsia" w:hAnsiTheme="minorEastAsia" w:eastAsiaTheme="minorEastAsia"/>
                <w:sz w:val="20"/>
                <w:szCs w:val="20"/>
              </w:rPr>
            </w:pPr>
            <w:r>
              <w:rPr>
                <w:rFonts w:hint="eastAsia" w:cs="宋体" w:asciiTheme="minorEastAsia" w:hAnsiTheme="minorEastAsia" w:eastAsiaTheme="minorEastAsia"/>
                <w:sz w:val="20"/>
                <w:szCs w:val="20"/>
              </w:rPr>
              <w:t>公司通过各种宣传方式，将管理方针宣传到本公司各层次，确保方针得到正确的理解和实施。在管理评审会议上，总经理组织对方针的持续适宜性和有效性进行评审，并根据评审结果对其做出必要的调整。当有相关方需要公司提供管理方针时，可通过公司内部进行传递获取。</w:t>
            </w:r>
          </w:p>
          <w:p>
            <w:pPr>
              <w:spacing w:line="240" w:lineRule="exact"/>
              <w:ind w:left="199" w:leftChars="95"/>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17" w:type="dxa"/>
          </w:tcPr>
          <w:p>
            <w:pPr>
              <w:spacing w:line="280" w:lineRule="exact"/>
              <w:rPr>
                <w:rFonts w:hint="eastAsia"/>
                <w:b/>
                <w:color w:val="000000" w:themeColor="text1"/>
              </w:rPr>
            </w:pPr>
            <w:r>
              <w:rPr>
                <w:rFonts w:hint="eastAsia" w:ascii="Times New Roman" w:hAnsi="Times New Roman" w:cs="Times New Roman"/>
                <w:b/>
                <w:color w:val="000000" w:themeColor="text1"/>
                <w:spacing w:val="-10"/>
                <w:sz w:val="20"/>
                <w:szCs w:val="20"/>
                <w:lang w:val="en-US" w:eastAsia="zh-CN"/>
              </w:rPr>
              <w:t>4.</w:t>
            </w:r>
            <w:r>
              <w:rPr>
                <w:rFonts w:hint="eastAsia" w:ascii="Times New Roman" w:hAnsi="Times New Roman" w:cs="Times New Roman"/>
                <w:b/>
                <w:color w:val="000000" w:themeColor="text1"/>
                <w:spacing w:val="-10"/>
                <w:sz w:val="20"/>
                <w:szCs w:val="20"/>
              </w:rPr>
              <w:t>风险</w:t>
            </w:r>
            <w:r>
              <w:rPr>
                <w:rFonts w:hint="eastAsia"/>
                <w:b/>
                <w:color w:val="000000" w:themeColor="text1"/>
              </w:rPr>
              <w:t>识别与控制策划（QMS）</w:t>
            </w:r>
          </w:p>
          <w:p>
            <w:pPr>
              <w:ind w:firstLine="400" w:firstLineChars="200"/>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公司制定管理手册中，明确风险和机遇事件的识别方法</w:t>
            </w:r>
            <w:r>
              <w:rPr>
                <w:rFonts w:cs="宋体" w:asciiTheme="minorEastAsia" w:hAnsiTheme="minorEastAsia" w:eastAsiaTheme="minorEastAsia"/>
                <w:sz w:val="20"/>
                <w:szCs w:val="20"/>
              </w:rPr>
              <w:t>/</w:t>
            </w:r>
            <w:r>
              <w:rPr>
                <w:rFonts w:hint="eastAsia" w:cs="宋体" w:asciiTheme="minorEastAsia" w:hAnsiTheme="minorEastAsia" w:eastAsiaTheme="minorEastAsia"/>
                <w:sz w:val="20"/>
                <w:szCs w:val="20"/>
              </w:rPr>
              <w:t>途径、风险和机遇事件的评估方式、制定主要风险和机遇事件的应对措施的要求、评价这些措施有效性的方法。</w:t>
            </w:r>
          </w:p>
          <w:p>
            <w:pPr>
              <w:ind w:firstLine="400" w:firstLineChars="200"/>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提供“风险与机遇评价与应对策划表”，按照</w:t>
            </w:r>
            <w:r>
              <w:rPr>
                <w:rFonts w:hint="eastAsia" w:cs="宋体" w:asciiTheme="minorEastAsia" w:hAnsiTheme="minorEastAsia" w:eastAsiaTheme="minorEastAsia"/>
                <w:sz w:val="20"/>
                <w:szCs w:val="20"/>
                <w:lang w:val="en-US" w:eastAsia="zh-CN"/>
              </w:rPr>
              <w:t>业务、服务提供</w:t>
            </w:r>
            <w:r>
              <w:rPr>
                <w:rFonts w:hint="eastAsia" w:cs="宋体" w:asciiTheme="minorEastAsia" w:hAnsiTheme="minorEastAsia" w:eastAsiaTheme="minorEastAsia"/>
                <w:sz w:val="20"/>
                <w:szCs w:val="20"/>
              </w:rPr>
              <w:t>、采购、支持过程</w:t>
            </w:r>
            <w:r>
              <w:rPr>
                <w:rFonts w:cs="宋体" w:asciiTheme="minorEastAsia" w:hAnsiTheme="minorEastAsia" w:eastAsiaTheme="minorEastAsia"/>
                <w:sz w:val="20"/>
                <w:szCs w:val="20"/>
              </w:rPr>
              <w:t>/</w:t>
            </w:r>
            <w:r>
              <w:rPr>
                <w:rFonts w:hint="eastAsia" w:cs="宋体" w:asciiTheme="minorEastAsia" w:hAnsiTheme="minorEastAsia" w:eastAsiaTheme="minorEastAsia"/>
                <w:sz w:val="20"/>
                <w:szCs w:val="20"/>
              </w:rPr>
              <w:t>部门对风险和机遇进行了评价识别，并制定应对措施。</w:t>
            </w:r>
          </w:p>
          <w:p>
            <w:pPr>
              <w:ind w:firstLine="400" w:firstLineChars="200"/>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风险机遇识别基本充分，应对风险和机遇的措施基本适宜。</w:t>
            </w:r>
          </w:p>
          <w:p>
            <w:pPr>
              <w:numPr>
                <w:ilvl w:val="0"/>
                <w:numId w:val="0"/>
              </w:numPr>
              <w:spacing w:line="240" w:lineRule="exact"/>
              <w:ind w:leftChars="0"/>
              <w:rPr>
                <w:rFonts w:hint="eastAsia"/>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17" w:type="dxa"/>
          </w:tcPr>
          <w:p>
            <w:pPr>
              <w:numPr>
                <w:ilvl w:val="0"/>
                <w:numId w:val="0"/>
              </w:numPr>
              <w:spacing w:line="240" w:lineRule="exact"/>
              <w:ind w:leftChars="0"/>
              <w:rPr>
                <w:rFonts w:ascii="宋体" w:hAnsi="宋体"/>
                <w:b/>
                <w:color w:val="000000" w:themeColor="text1"/>
                <w:sz w:val="20"/>
                <w:szCs w:val="20"/>
              </w:rPr>
            </w:pPr>
            <w:r>
              <w:rPr>
                <w:rFonts w:hint="eastAsia"/>
                <w:b/>
                <w:color w:val="000000" w:themeColor="text1"/>
                <w:sz w:val="20"/>
                <w:szCs w:val="20"/>
              </w:rPr>
              <w:t>5.</w:t>
            </w:r>
            <w:r>
              <w:rPr>
                <w:rFonts w:hint="eastAsia" w:ascii="Times New Roman" w:hAnsi="Times New Roman" w:cs="Times New Roman"/>
                <w:b/>
                <w:color w:val="000000" w:themeColor="text1"/>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质量管理体系过程有：</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w:t>
            </w:r>
            <w:r>
              <w:rPr>
                <w:rFonts w:hint="eastAsia" w:ascii="宋体" w:hAnsi="宋体"/>
                <w:b/>
                <w:color w:val="000000" w:themeColor="text1"/>
                <w:sz w:val="20"/>
                <w:szCs w:val="20"/>
                <w:u w:val="single"/>
                <w:lang w:val="en-US" w:eastAsia="zh-CN"/>
              </w:rPr>
              <w:t>保安服务提供</w:t>
            </w:r>
            <w:r>
              <w:rPr>
                <w:rFonts w:hint="eastAsia" w:ascii="宋体" w:hAnsi="宋体"/>
                <w:b/>
                <w:color w:val="000000" w:themeColor="text1"/>
                <w:sz w:val="20"/>
                <w:szCs w:val="20"/>
                <w:u w:val="single"/>
              </w:rPr>
              <w:t xml:space="preserve">                          ，</w:t>
            </w:r>
          </w:p>
          <w:p>
            <w:pPr>
              <w:tabs>
                <w:tab w:val="left" w:pos="540"/>
              </w:tabs>
              <w:spacing w:line="300" w:lineRule="exact"/>
              <w:ind w:left="201" w:hanging="201" w:hangingChars="100"/>
              <w:rPr>
                <w:rFonts w:hint="default" w:ascii="宋体" w:hAnsi="宋体" w:eastAsia="宋体"/>
                <w:b/>
                <w:color w:val="000000" w:themeColor="text1"/>
                <w:sz w:val="20"/>
                <w:szCs w:val="20"/>
                <w:u w:val="single"/>
                <w:lang w:val="en-US" w:eastAsia="zh-CN"/>
              </w:rPr>
            </w:pPr>
            <w:r>
              <w:rPr>
                <w:rFonts w:hint="eastAsia" w:ascii="宋体" w:hAnsi="宋体"/>
                <w:b/>
                <w:color w:val="000000" w:themeColor="text1"/>
                <w:sz w:val="20"/>
                <w:szCs w:val="20"/>
              </w:rPr>
              <w:t xml:space="preserve">需要确认过程  </w:t>
            </w:r>
            <w:r>
              <w:rPr>
                <w:rFonts w:hint="eastAsia" w:ascii="宋体" w:hAnsi="宋体"/>
                <w:b/>
                <w:color w:val="000000" w:themeColor="text1"/>
                <w:sz w:val="20"/>
                <w:szCs w:val="20"/>
                <w:lang w:val="en-US" w:eastAsia="zh-CN"/>
              </w:rPr>
              <w:t>保安服务提供过程；</w:t>
            </w:r>
          </w:p>
          <w:p>
            <w:pPr>
              <w:tabs>
                <w:tab w:val="left" w:pos="540"/>
              </w:tabs>
              <w:spacing w:line="300" w:lineRule="exact"/>
              <w:ind w:left="201" w:hanging="201" w:hangingChars="100"/>
              <w:rPr>
                <w:rFonts w:ascii="宋体" w:hAnsi="宋体"/>
                <w:b/>
                <w:color w:val="000000" w:themeColor="text1"/>
                <w:sz w:val="20"/>
                <w:szCs w:val="20"/>
              </w:rPr>
            </w:pPr>
            <w:r>
              <w:rPr>
                <w:b/>
                <w:color w:val="000000" w:themeColor="text1"/>
                <w:sz w:val="20"/>
                <w:szCs w:val="20"/>
              </w:rPr>
              <w:pict>
                <v:shape id="_x0000_s1025" o:spid="_x0000_s1025" o:spt="32" type="#_x0000_t32" style="position:absolute;left:0pt;margin-left:157.9pt;margin-top:12.75pt;height:0pt;width:261.75pt;z-index:251660288;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1026" o:spid="_x0000_s1026" o:spt="32" type="#_x0000_t32" style="position:absolute;left:0pt;margin-left:55.15pt;margin-top:12.75pt;height:0pt;width:42pt;z-index:251659264;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，不适用理由：                                                    </w:t>
            </w:r>
          </w:p>
          <w:p>
            <w:pPr>
              <w:tabs>
                <w:tab w:val="left" w:pos="540"/>
              </w:tabs>
              <w:spacing w:line="300" w:lineRule="exact"/>
              <w:ind w:left="201" w:hanging="201" w:hangingChars="100"/>
              <w:rPr>
                <w:rFonts w:ascii="宋体" w:hAnsi="宋体"/>
                <w:b/>
                <w:color w:val="000000" w:themeColor="text1"/>
                <w:sz w:val="20"/>
                <w:szCs w:val="20"/>
              </w:rPr>
            </w:pPr>
          </w:p>
          <w:p>
            <w:pPr>
              <w:tabs>
                <w:tab w:val="left" w:pos="540"/>
              </w:tabs>
              <w:spacing w:line="300" w:lineRule="exact"/>
              <w:ind w:left="211" w:hanging="211" w:hangingChars="100"/>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4" w:hRule="atLeast"/>
          <w:jc w:val="center"/>
        </w:trPr>
        <w:tc>
          <w:tcPr>
            <w:tcW w:w="720" w:type="dxa"/>
            <w:vMerge w:val="continue"/>
            <w:vAlign w:val="center"/>
          </w:tcPr>
          <w:p>
            <w:pPr>
              <w:spacing w:line="240" w:lineRule="exact"/>
              <w:jc w:val="center"/>
              <w:rPr>
                <w:b/>
                <w:color w:val="000000" w:themeColor="text1"/>
                <w:sz w:val="20"/>
              </w:rPr>
            </w:pPr>
          </w:p>
        </w:tc>
        <w:tc>
          <w:tcPr>
            <w:tcW w:w="9117"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atLeast"/>
          <w:jc w:val="center"/>
        </w:trPr>
        <w:tc>
          <w:tcPr>
            <w:tcW w:w="720" w:type="dxa"/>
            <w:vMerge w:val="continue"/>
            <w:vAlign w:val="center"/>
          </w:tcPr>
          <w:p>
            <w:pPr>
              <w:spacing w:line="240" w:lineRule="exact"/>
              <w:jc w:val="center"/>
              <w:rPr>
                <w:b/>
                <w:color w:val="000000" w:themeColor="text1"/>
                <w:sz w:val="20"/>
              </w:rPr>
            </w:pPr>
          </w:p>
        </w:tc>
        <w:tc>
          <w:tcPr>
            <w:tcW w:w="9117"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b/>
                <w:color w:val="000000" w:themeColor="text1"/>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17" w:type="dxa"/>
          </w:tcPr>
          <w:p>
            <w:pPr>
              <w:spacing w:line="300" w:lineRule="exact"/>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0"/>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rPr>
              <w:sym w:font="Wingdings 2" w:char="0052"/>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0"/>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rPr>
              <w:sym w:font="Wingdings 2" w:char="0052"/>
            </w:r>
            <w:r>
              <w:rPr>
                <w:rFonts w:hint="eastAsia" w:ascii="宋体" w:hAnsi="宋体"/>
                <w:b/>
                <w:color w:val="000000" w:themeColor="text1"/>
                <w:szCs w:val="21"/>
              </w:rPr>
              <w:t>产品/服务□环境因素□危险源，</w:t>
            </w:r>
            <w:r>
              <w:rPr>
                <w:rFonts w:hint="eastAsia" w:ascii="宋体" w:hAnsi="宋体"/>
                <w:b/>
                <w:color w:val="000000" w:themeColor="text1"/>
                <w:szCs w:val="21"/>
              </w:rPr>
              <w:sym w:font="Wingdings 2" w:char="0052"/>
            </w:r>
            <w:r>
              <w:rPr>
                <w:rFonts w:hint="eastAsia" w:ascii="宋体" w:hAnsi="宋体"/>
                <w:b/>
                <w:color w:val="000000" w:themeColor="text1"/>
                <w:szCs w:val="21"/>
              </w:rPr>
              <w:t>确定 □未确定法律法规要求的具体条款，</w:t>
            </w:r>
          </w:p>
          <w:p>
            <w:pPr>
              <w:pStyle w:val="10"/>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w:t>
            </w:r>
            <w:r>
              <w:rPr>
                <w:rFonts w:hint="eastAsia" w:ascii="宋体" w:hAnsi="宋体"/>
                <w:b/>
                <w:color w:val="000000" w:themeColor="text1"/>
                <w:szCs w:val="21"/>
                <w:lang w:val="en-US" w:eastAsia="zh-CN"/>
              </w:rPr>
              <w:t>会议、内部微信群等</w:t>
            </w:r>
          </w:p>
          <w:p>
            <w:pPr>
              <w:pStyle w:val="10"/>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17" w:type="dxa"/>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00" w:firstLineChars="200"/>
              <w:rPr>
                <w:rFonts w:hint="eastAsia" w:cs="Times New Roman" w:asciiTheme="minorEastAsia" w:hAnsiTheme="minorEastAsia" w:eastAsiaTheme="minorEastAsia"/>
                <w:color w:val="000000"/>
                <w:kern w:val="2"/>
                <w:sz w:val="20"/>
                <w:szCs w:val="20"/>
                <w:lang w:val="en-US" w:eastAsia="zh-CN" w:bidi="ar-SA"/>
              </w:rPr>
            </w:pPr>
            <w:r>
              <w:rPr>
                <w:rFonts w:hint="eastAsia" w:cs="Times New Roman" w:asciiTheme="minorEastAsia" w:hAnsiTheme="minorEastAsia" w:eastAsiaTheme="minorEastAsia"/>
                <w:color w:val="000000"/>
                <w:kern w:val="2"/>
                <w:sz w:val="20"/>
                <w:szCs w:val="20"/>
                <w:lang w:val="en-US" w:eastAsia="zh-CN" w:bidi="ar-SA"/>
              </w:rPr>
              <w:t>公司建立质量目标，并在各个部门建立质量分目标；与方针一致，符合公司总的质量目标，进行了统计及目标实现分析，经查，达成目标，并将管理目标完成情况在公司会议上进行通报。</w:t>
            </w:r>
          </w:p>
          <w:p>
            <w:pPr>
              <w:spacing w:line="300" w:lineRule="exact"/>
              <w:rPr>
                <w:rFonts w:hint="eastAsia" w:cs="Times New Roman" w:asciiTheme="minorEastAsia" w:hAnsiTheme="minorEastAsia" w:eastAsiaTheme="minorEastAsia"/>
                <w:color w:val="000000"/>
                <w:kern w:val="2"/>
                <w:sz w:val="20"/>
                <w:szCs w:val="20"/>
                <w:lang w:val="en-US" w:eastAsia="zh-CN" w:bidi="ar-SA"/>
              </w:rPr>
            </w:pPr>
            <w:r>
              <w:rPr>
                <w:rFonts w:hint="eastAsia" w:cs="Times New Roman" w:asciiTheme="minorEastAsia" w:hAnsiTheme="minorEastAsia" w:eastAsiaTheme="minorEastAsia"/>
                <w:color w:val="000000"/>
                <w:kern w:val="2"/>
                <w:sz w:val="20"/>
                <w:szCs w:val="20"/>
                <w:lang w:val="en-US" w:eastAsia="zh-CN" w:bidi="ar-SA"/>
              </w:rPr>
              <w:t>提供《目标指标和管理方案》《目标指标和管理方案考核表》</w:t>
            </w:r>
          </w:p>
          <w:p>
            <w:pPr>
              <w:spacing w:line="240" w:lineRule="exact"/>
              <w:rPr>
                <w:rFonts w:ascii="宋体" w:hAnsi="宋体"/>
                <w:b/>
                <w:color w:val="000000" w:themeColor="text1"/>
              </w:rPr>
            </w:pPr>
            <w:r>
              <w:rPr>
                <w:rFonts w:hint="eastAsia" w:cs="Times New Roman" w:asciiTheme="minorEastAsia" w:hAnsiTheme="minorEastAsia" w:eastAsiaTheme="minorEastAsia"/>
                <w:color w:val="000000"/>
                <w:kern w:val="2"/>
                <w:sz w:val="20"/>
                <w:szCs w:val="20"/>
                <w:lang w:val="en-US" w:eastAsia="zh-CN" w:bidi="ar-SA"/>
              </w:rPr>
              <w:t>以上目标指标均已完成，管理方案规定了措施方法、完成时间表、责任人、资金等情况。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17" w:type="dxa"/>
          </w:tcPr>
          <w:p>
            <w:pPr>
              <w:spacing w:line="240" w:lineRule="exact"/>
              <w:rPr>
                <w:rFonts w:ascii="宋体" w:hAnsi="宋体"/>
                <w:b/>
                <w:color w:val="000000" w:themeColor="text1"/>
                <w:sz w:val="20"/>
                <w:szCs w:val="20"/>
              </w:rPr>
            </w:pPr>
            <w:r>
              <w:rPr>
                <w:rFonts w:hint="eastAsia"/>
                <w:b/>
                <w:color w:val="000000" w:themeColor="text1"/>
                <w:sz w:val="20"/>
                <w:szCs w:val="20"/>
              </w:rPr>
              <w:t>6.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spacing w:line="300" w:lineRule="exact"/>
              <w:rPr>
                <w:rFonts w:hint="eastAsia" w:cs="Times New Roman" w:asciiTheme="minorEastAsia" w:hAnsiTheme="minorEastAsia" w:eastAsiaTheme="minorEastAsia"/>
                <w:color w:val="000000"/>
                <w:kern w:val="2"/>
                <w:sz w:val="20"/>
                <w:szCs w:val="20"/>
                <w:lang w:val="en-US" w:eastAsia="zh-CN" w:bidi="ar-SA"/>
              </w:rPr>
            </w:pPr>
            <w:r>
              <w:rPr>
                <w:rFonts w:hint="eastAsia" w:cs="Times New Roman" w:asciiTheme="minorEastAsia" w:hAnsiTheme="minorEastAsia" w:eastAsiaTheme="minorEastAsia"/>
                <w:color w:val="000000"/>
                <w:kern w:val="2"/>
                <w:sz w:val="20"/>
                <w:szCs w:val="20"/>
                <w:lang w:val="en-US" w:eastAsia="zh-CN" w:bidi="ar-SA"/>
              </w:rPr>
              <w:t>受审核方建立的管理体系文件包括：</w:t>
            </w:r>
          </w:p>
          <w:p>
            <w:pPr>
              <w:spacing w:line="300" w:lineRule="exact"/>
              <w:rPr>
                <w:rFonts w:hint="eastAsia" w:cs="Times New Roman" w:asciiTheme="minorEastAsia" w:hAnsiTheme="minorEastAsia" w:eastAsiaTheme="minorEastAsia"/>
                <w:color w:val="000000"/>
                <w:kern w:val="2"/>
                <w:sz w:val="20"/>
                <w:szCs w:val="20"/>
                <w:lang w:val="en-US" w:eastAsia="zh-CN" w:bidi="ar-SA"/>
              </w:rPr>
            </w:pPr>
            <w:r>
              <w:rPr>
                <w:rFonts w:hint="eastAsia" w:cs="Times New Roman" w:asciiTheme="minorEastAsia" w:hAnsiTheme="minorEastAsia" w:eastAsiaTheme="minorEastAsia"/>
                <w:color w:val="000000"/>
                <w:kern w:val="2"/>
                <w:sz w:val="20"/>
                <w:szCs w:val="20"/>
                <w:lang w:val="en-US" w:eastAsia="zh-CN" w:bidi="ar-SA"/>
              </w:rPr>
              <w:t xml:space="preserve">1.管理手册 ，发布时间：2020.6.1   实施时间2020.6.1   </w:t>
            </w:r>
          </w:p>
          <w:p>
            <w:pPr>
              <w:spacing w:line="300" w:lineRule="exact"/>
              <w:rPr>
                <w:rFonts w:hint="eastAsia" w:cs="Times New Roman" w:asciiTheme="minorEastAsia" w:hAnsiTheme="minorEastAsia" w:eastAsiaTheme="minorEastAsia"/>
                <w:color w:val="000000"/>
                <w:kern w:val="2"/>
                <w:sz w:val="20"/>
                <w:szCs w:val="20"/>
                <w:lang w:val="en-US" w:eastAsia="zh-CN" w:bidi="ar-SA"/>
              </w:rPr>
            </w:pPr>
            <w:r>
              <w:rPr>
                <w:rFonts w:hint="eastAsia" w:cs="Times New Roman" w:asciiTheme="minorEastAsia" w:hAnsiTheme="minorEastAsia" w:eastAsiaTheme="minorEastAsia"/>
                <w:color w:val="000000"/>
                <w:kern w:val="2"/>
                <w:sz w:val="20"/>
                <w:szCs w:val="20"/>
                <w:lang w:val="en-US" w:eastAsia="zh-CN" w:bidi="ar-SA"/>
              </w:rPr>
              <w:t>2.程序文件，包括标准要求的形成文件的信息。</w:t>
            </w:r>
          </w:p>
          <w:p>
            <w:pPr>
              <w:spacing w:line="300" w:lineRule="exact"/>
              <w:rPr>
                <w:rFonts w:hint="eastAsia" w:cs="Times New Roman" w:asciiTheme="minorEastAsia" w:hAnsiTheme="minorEastAsia" w:eastAsiaTheme="minorEastAsia"/>
                <w:color w:val="000000"/>
                <w:kern w:val="2"/>
                <w:sz w:val="20"/>
                <w:szCs w:val="20"/>
                <w:lang w:val="en-US" w:eastAsia="zh-CN" w:bidi="ar-SA"/>
              </w:rPr>
            </w:pPr>
            <w:r>
              <w:rPr>
                <w:rFonts w:hint="eastAsia" w:cs="Times New Roman" w:asciiTheme="minorEastAsia" w:hAnsiTheme="minorEastAsia" w:eastAsiaTheme="minorEastAsia"/>
                <w:color w:val="000000"/>
                <w:kern w:val="2"/>
                <w:sz w:val="20"/>
                <w:szCs w:val="20"/>
                <w:lang w:val="en-US" w:eastAsia="zh-CN" w:bidi="ar-SA"/>
              </w:rPr>
              <w:t>3.管理制度和操作流程，包括作业指导书等。</w:t>
            </w:r>
          </w:p>
          <w:p>
            <w:pPr>
              <w:spacing w:line="300" w:lineRule="exact"/>
              <w:rPr>
                <w:rFonts w:hint="eastAsia" w:cs="Times New Roman" w:asciiTheme="minorEastAsia" w:hAnsiTheme="minorEastAsia" w:eastAsiaTheme="minorEastAsia"/>
                <w:color w:val="000000"/>
                <w:kern w:val="2"/>
                <w:sz w:val="20"/>
                <w:szCs w:val="20"/>
                <w:lang w:val="en-US" w:eastAsia="zh-CN" w:bidi="ar-SA"/>
              </w:rPr>
            </w:pPr>
            <w:r>
              <w:rPr>
                <w:rFonts w:hint="eastAsia" w:cs="Times New Roman" w:asciiTheme="minorEastAsia" w:hAnsiTheme="minorEastAsia" w:eastAsiaTheme="minorEastAsia"/>
                <w:color w:val="000000"/>
                <w:kern w:val="2"/>
                <w:sz w:val="20"/>
                <w:szCs w:val="20"/>
                <w:lang w:val="en-US" w:eastAsia="zh-CN" w:bidi="ar-SA"/>
              </w:rPr>
              <w:t>4.体系运行所需要的文件和记录</w:t>
            </w:r>
          </w:p>
          <w:p>
            <w:pPr>
              <w:spacing w:line="300" w:lineRule="exact"/>
              <w:rPr>
                <w:rFonts w:hint="eastAsia" w:cs="Times New Roman" w:asciiTheme="minorEastAsia" w:hAnsiTheme="minorEastAsia" w:eastAsiaTheme="minorEastAsia"/>
                <w:color w:val="000000"/>
                <w:kern w:val="2"/>
                <w:sz w:val="20"/>
                <w:szCs w:val="20"/>
                <w:lang w:val="en-US" w:eastAsia="zh-CN" w:bidi="ar-SA"/>
              </w:rPr>
            </w:pPr>
            <w:r>
              <w:rPr>
                <w:rFonts w:hint="eastAsia" w:cs="Times New Roman" w:asciiTheme="minorEastAsia" w:hAnsiTheme="minorEastAsia" w:eastAsiaTheme="minorEastAsia"/>
                <w:color w:val="000000"/>
                <w:kern w:val="2"/>
                <w:sz w:val="20"/>
                <w:szCs w:val="20"/>
                <w:lang w:val="en-US" w:eastAsia="zh-CN" w:bidi="ar-SA"/>
              </w:rPr>
              <w:t>编制了《文件控制程序》，用于对管理体系文件，符合标准要求。</w:t>
            </w:r>
          </w:p>
          <w:p>
            <w:pPr>
              <w:spacing w:line="300" w:lineRule="exact"/>
              <w:rPr>
                <w:rFonts w:hint="eastAsia" w:cs="Times New Roman" w:asciiTheme="minorEastAsia" w:hAnsiTheme="minorEastAsia" w:eastAsiaTheme="minorEastAsia"/>
                <w:color w:val="000000"/>
                <w:kern w:val="2"/>
                <w:sz w:val="20"/>
                <w:szCs w:val="20"/>
                <w:lang w:val="en-US" w:eastAsia="zh-CN" w:bidi="ar-SA"/>
              </w:rPr>
            </w:pPr>
            <w:r>
              <w:rPr>
                <w:rFonts w:hint="eastAsia" w:cs="Times New Roman" w:asciiTheme="minorEastAsia" w:hAnsiTheme="minorEastAsia" w:eastAsiaTheme="minorEastAsia"/>
                <w:color w:val="000000"/>
                <w:kern w:val="2"/>
                <w:sz w:val="20"/>
                <w:szCs w:val="20"/>
                <w:lang w:val="en-US" w:eastAsia="zh-CN" w:bidi="ar-SA"/>
              </w:rPr>
              <w:t>查办公室管理手册、管理制度等文件均保管良好，为有效版本，有受控标识。</w:t>
            </w:r>
          </w:p>
          <w:p>
            <w:pPr>
              <w:spacing w:line="300" w:lineRule="exact"/>
              <w:rPr>
                <w:rFonts w:hint="eastAsia" w:cs="Times New Roman" w:asciiTheme="minorEastAsia" w:hAnsiTheme="minorEastAsia" w:eastAsiaTheme="minorEastAsia"/>
                <w:color w:val="000000"/>
                <w:kern w:val="2"/>
                <w:sz w:val="20"/>
                <w:szCs w:val="20"/>
                <w:lang w:val="en-US" w:eastAsia="zh-CN" w:bidi="ar-SA"/>
              </w:rPr>
            </w:pPr>
            <w:r>
              <w:rPr>
                <w:rFonts w:hint="eastAsia" w:cs="Times New Roman" w:asciiTheme="minorEastAsia" w:hAnsiTheme="minorEastAsia" w:eastAsiaTheme="minorEastAsia"/>
                <w:color w:val="000000"/>
                <w:kern w:val="2"/>
                <w:sz w:val="20"/>
                <w:szCs w:val="20"/>
                <w:lang w:val="en-US" w:eastAsia="zh-CN" w:bidi="ar-SA"/>
              </w:rPr>
              <w:t>办公室负责收集有关产品的国家标准、行业标准的最新版本，分发到相关部门使用；收回旧标准。</w:t>
            </w:r>
          </w:p>
          <w:p>
            <w:pPr>
              <w:spacing w:line="300" w:lineRule="exact"/>
              <w:rPr>
                <w:rFonts w:hint="eastAsia" w:cs="Times New Roman" w:asciiTheme="minorEastAsia" w:hAnsiTheme="minorEastAsia" w:eastAsiaTheme="minorEastAsia"/>
                <w:color w:val="000000"/>
                <w:kern w:val="2"/>
                <w:sz w:val="20"/>
                <w:szCs w:val="20"/>
                <w:lang w:val="en-US" w:eastAsia="zh-CN" w:bidi="ar-SA"/>
              </w:rPr>
            </w:pPr>
            <w:r>
              <w:rPr>
                <w:rFonts w:hint="eastAsia" w:cs="Times New Roman" w:asciiTheme="minorEastAsia" w:hAnsiTheme="minorEastAsia" w:eastAsiaTheme="minorEastAsia"/>
                <w:color w:val="000000"/>
                <w:kern w:val="2"/>
                <w:sz w:val="20"/>
                <w:szCs w:val="20"/>
                <w:lang w:val="en-US" w:eastAsia="zh-CN" w:bidi="ar-SA"/>
              </w:rPr>
              <w:t>查见《法律法规清单》，内容包括：序号、文件名称、编号、版本等，收集基本全面，基本符合。</w:t>
            </w:r>
          </w:p>
          <w:p>
            <w:pPr>
              <w:spacing w:line="300" w:lineRule="exact"/>
              <w:rPr>
                <w:rFonts w:hint="eastAsia" w:cs="Times New Roman" w:asciiTheme="minorEastAsia" w:hAnsiTheme="minorEastAsia" w:eastAsiaTheme="minorEastAsia"/>
                <w:color w:val="000000"/>
                <w:kern w:val="2"/>
                <w:sz w:val="20"/>
                <w:szCs w:val="20"/>
                <w:lang w:val="en-US" w:eastAsia="zh-CN" w:bidi="ar-SA"/>
              </w:rPr>
            </w:pPr>
            <w:r>
              <w:rPr>
                <w:rFonts w:hint="eastAsia" w:cs="Times New Roman" w:asciiTheme="minorEastAsia" w:hAnsiTheme="minorEastAsia" w:eastAsiaTheme="minorEastAsia"/>
                <w:color w:val="000000"/>
                <w:kern w:val="2"/>
                <w:sz w:val="20"/>
                <w:szCs w:val="20"/>
                <w:lang w:val="en-US" w:eastAsia="zh-CN" w:bidi="ar-SA"/>
              </w:rPr>
              <w:t>以上外来文件保管良好，均为有效版本。</w:t>
            </w:r>
          </w:p>
          <w:p>
            <w:pPr>
              <w:spacing w:line="300" w:lineRule="exact"/>
              <w:rPr>
                <w:rFonts w:hint="eastAsia" w:cs="Times New Roman" w:asciiTheme="minorEastAsia" w:hAnsiTheme="minorEastAsia" w:eastAsiaTheme="minorEastAsia"/>
                <w:color w:val="000000"/>
                <w:kern w:val="2"/>
                <w:sz w:val="20"/>
                <w:szCs w:val="20"/>
                <w:lang w:val="en-US" w:eastAsia="zh-CN" w:bidi="ar-SA"/>
              </w:rPr>
            </w:pPr>
            <w:r>
              <w:rPr>
                <w:rFonts w:hint="eastAsia" w:cs="Times New Roman" w:asciiTheme="minorEastAsia" w:hAnsiTheme="minorEastAsia" w:eastAsiaTheme="minorEastAsia"/>
                <w:color w:val="000000"/>
                <w:kern w:val="2"/>
                <w:sz w:val="20"/>
                <w:szCs w:val="20"/>
                <w:lang w:val="en-US" w:eastAsia="zh-CN" w:bidi="ar-SA"/>
              </w:rPr>
              <w:t>查见《记录清单》，内容包括：序号、记录名称、编号、保存期、使用部门等。</w:t>
            </w:r>
          </w:p>
          <w:p>
            <w:pPr>
              <w:tabs>
                <w:tab w:val="left" w:pos="540"/>
              </w:tabs>
              <w:spacing w:line="240" w:lineRule="exact"/>
              <w:rPr>
                <w:rFonts w:ascii="宋体" w:hAnsi="宋体"/>
                <w:b/>
                <w:color w:val="000000" w:themeColor="text1"/>
                <w:sz w:val="20"/>
                <w:szCs w:val="20"/>
              </w:rPr>
            </w:pPr>
            <w:r>
              <w:rPr>
                <w:rFonts w:hint="eastAsia" w:cs="Times New Roman" w:asciiTheme="minorEastAsia" w:hAnsiTheme="minorEastAsia" w:eastAsiaTheme="minorEastAsia"/>
                <w:color w:val="000000"/>
                <w:kern w:val="2"/>
                <w:sz w:val="20"/>
                <w:szCs w:val="20"/>
                <w:lang w:val="en-US" w:eastAsia="zh-CN" w:bidi="ar-SA"/>
              </w:rPr>
              <w:t>各部门保存各记录，按时间整理，放置在文件柜中，以便检索，目前保存完好。名称，编号构成记录的唯一性标识。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17"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spacing w:line="300" w:lineRule="exact"/>
              <w:ind w:firstLine="400" w:firstLineChars="200"/>
              <w:rPr>
                <w:rFonts w:ascii="宋体" w:hAnsi="宋体"/>
                <w:b/>
                <w:color w:val="000000" w:themeColor="text1"/>
                <w:sz w:val="20"/>
                <w:szCs w:val="20"/>
              </w:rPr>
            </w:pPr>
            <w:r>
              <w:rPr>
                <w:rFonts w:hint="eastAsia" w:cs="Times New Roman" w:asciiTheme="minorEastAsia" w:hAnsiTheme="minorEastAsia" w:eastAsiaTheme="minorEastAsia"/>
                <w:color w:val="000000"/>
                <w:kern w:val="2"/>
                <w:sz w:val="20"/>
                <w:szCs w:val="20"/>
                <w:lang w:val="en-US" w:eastAsia="zh-CN" w:bidi="ar-SA"/>
              </w:rPr>
              <w:t>保安服务人员上岗前经过岗前培训，业务人员及办公管理人员均经过专业培训。保安服务提供过程人员，均取得浙江省公安厅颁发的保安资格证。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17"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240" w:lineRule="exact"/>
              <w:rPr>
                <w:rFonts w:hint="default" w:cs="Times New Roman" w:asciiTheme="minorEastAsia" w:hAnsiTheme="minorEastAsia" w:eastAsiaTheme="minorEastAsia"/>
                <w:color w:val="000000"/>
                <w:kern w:val="2"/>
                <w:sz w:val="20"/>
                <w:szCs w:val="20"/>
                <w:lang w:val="en-US" w:eastAsia="zh-CN" w:bidi="ar-SA"/>
              </w:rPr>
            </w:pPr>
            <w:r>
              <w:rPr>
                <w:rFonts w:hint="eastAsia" w:ascii="宋体" w:hAnsi="宋体"/>
                <w:b/>
                <w:color w:val="000000" w:themeColor="text1"/>
                <w:sz w:val="20"/>
                <w:szCs w:val="20"/>
                <w:lang w:val="en-US" w:eastAsia="zh-CN"/>
              </w:rPr>
              <w:t xml:space="preserve">  </w:t>
            </w:r>
            <w:r>
              <w:rPr>
                <w:rFonts w:hint="eastAsia" w:cs="Times New Roman" w:asciiTheme="minorEastAsia" w:hAnsiTheme="minorEastAsia" w:eastAsiaTheme="minorEastAsia"/>
                <w:color w:val="000000"/>
                <w:kern w:val="2"/>
                <w:sz w:val="20"/>
                <w:szCs w:val="20"/>
                <w:lang w:val="en-US" w:eastAsia="zh-CN" w:bidi="ar-SA"/>
              </w:rPr>
              <w:t xml:space="preserve"> 办公过程设备设施完善；服务过程所用的工具（钢叉、盾牌等）缺少维护记录；服务场所其他的设备设施为甲方所有；监控系统未提供有效性确认。</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17"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 xml:space="preserve">   </w:t>
            </w:r>
            <w:r>
              <w:rPr>
                <w:rFonts w:hint="eastAsia" w:cs="Times New Roman" w:asciiTheme="minorEastAsia" w:hAnsiTheme="minorEastAsia" w:eastAsiaTheme="minorEastAsia"/>
                <w:color w:val="000000"/>
                <w:kern w:val="2"/>
                <w:sz w:val="20"/>
                <w:szCs w:val="20"/>
                <w:lang w:val="en-US" w:eastAsia="zh-CN" w:bidi="ar-SA"/>
              </w:rPr>
              <w:t xml:space="preserve">服务过程过程场所为甲方所有；服务环境基本得到甲方的认可。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17" w:type="dxa"/>
          </w:tcPr>
          <w:p>
            <w:pPr>
              <w:spacing w:line="240" w:lineRule="exact"/>
              <w:rPr>
                <w:rFonts w:hint="eastAsia" w:ascii="宋体" w:hAnsi="宋体"/>
                <w:b/>
                <w:color w:val="000000" w:themeColor="text1"/>
                <w:sz w:val="20"/>
                <w:szCs w:val="20"/>
              </w:rPr>
            </w:pPr>
            <w:r>
              <w:rPr>
                <w:rFonts w:hint="eastAsia" w:ascii="宋体" w:hAnsi="宋体"/>
                <w:b/>
                <w:color w:val="000000" w:themeColor="text1"/>
                <w:sz w:val="20"/>
                <w:szCs w:val="20"/>
              </w:rPr>
              <w:t>监视和测量资源</w:t>
            </w:r>
          </w:p>
          <w:p>
            <w:pPr>
              <w:spacing w:line="240" w:lineRule="exact"/>
              <w:rPr>
                <w:rFonts w:hint="default" w:ascii="宋体" w:hAnsi="宋体" w:eastAsia="宋体"/>
                <w:b/>
                <w:color w:val="000000" w:themeColor="text1"/>
                <w:sz w:val="20"/>
                <w:szCs w:val="20"/>
                <w:lang w:val="en-US" w:eastAsia="zh-CN"/>
              </w:rPr>
            </w:pPr>
            <w:r>
              <w:rPr>
                <w:rFonts w:hint="eastAsia" w:cs="Times New Roman" w:asciiTheme="minorEastAsia" w:hAnsiTheme="minorEastAsia" w:eastAsiaTheme="minorEastAsia"/>
                <w:color w:val="000000"/>
                <w:kern w:val="2"/>
                <w:sz w:val="20"/>
                <w:szCs w:val="20"/>
                <w:lang w:val="en-US" w:eastAsia="zh-CN" w:bidi="ar-SA"/>
              </w:rPr>
              <w:t>保安服务过程无测量设备；监控系统为甲方所有；由公司使用。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17"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240" w:lineRule="exact"/>
              <w:ind w:firstLine="200" w:firstLineChars="100"/>
              <w:rPr>
                <w:rFonts w:hint="eastAsia"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企业运行过程所需的知识从内部来源获取的有：公司业务、保安服务人员有以往多年工作经验，公司老员工负有对新员工进行的传帮带经验传授的职责。外部来源获取有：管理体系辅导老师传授的体系知识及所实施的培训；主管部门要求；行业会议；人员的专业经历、外部供方的产品知识及相关标准、社会知识等。</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17"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8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17"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3"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17"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rFonts w:hint="eastAsia"/>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firstLine="420" w:firstLineChars="200"/>
              <w:rPr>
                <w:rFonts w:hint="eastAsia"/>
                <w:b/>
                <w:color w:val="000000" w:themeColor="text1"/>
                <w:sz w:val="20"/>
                <w:szCs w:val="20"/>
              </w:rPr>
            </w:pPr>
            <w:r>
              <w:rPr>
                <w:rFonts w:hint="eastAsia" w:asciiTheme="minorEastAsia" w:hAnsiTheme="minorEastAsia" w:eastAsiaTheme="minorEastAsia"/>
                <w:szCs w:val="22"/>
              </w:rPr>
              <w:t>根据组织宗旨制定了管理体系方针，进行了有效沟通，在管理评审时进行评审，符合要求</w:t>
            </w:r>
            <w:r>
              <w:rPr>
                <w:rFonts w:hint="eastAsia" w:asciiTheme="minorEastAsia" w:hAnsiTheme="minorEastAsia" w:eastAsiaTheme="minor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17" w:type="dxa"/>
          </w:tcPr>
          <w:p>
            <w:pPr>
              <w:numPr>
                <w:ilvl w:val="0"/>
                <w:numId w:val="4"/>
              </w:numPr>
              <w:spacing w:line="240" w:lineRule="exact"/>
              <w:ind w:left="159" w:hanging="159" w:hangingChars="79"/>
              <w:rPr>
                <w:rFonts w:hint="eastAsia"/>
                <w:b/>
                <w:color w:val="000000" w:themeColor="text1"/>
                <w:sz w:val="20"/>
                <w:szCs w:val="20"/>
              </w:rPr>
            </w:pPr>
            <w:r>
              <w:rPr>
                <w:rFonts w:hint="eastAsia"/>
                <w:b/>
                <w:color w:val="000000" w:themeColor="text1"/>
                <w:sz w:val="20"/>
                <w:szCs w:val="20"/>
              </w:rPr>
              <w:t>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numPr>
                <w:numId w:val="0"/>
              </w:numPr>
              <w:spacing w:line="240" w:lineRule="exact"/>
              <w:ind w:leftChars="-79"/>
              <w:rPr>
                <w:rFonts w:hint="eastAsia"/>
                <w:b/>
                <w:color w:val="000000" w:themeColor="text1"/>
                <w:sz w:val="20"/>
                <w:szCs w:val="20"/>
              </w:rPr>
            </w:pPr>
          </w:p>
          <w:p>
            <w:pPr>
              <w:spacing w:line="240" w:lineRule="exact"/>
              <w:rPr>
                <w:rFonts w:hint="default" w:ascii="楷体_GB2312" w:eastAsia="楷体_GB2312"/>
                <w:b/>
                <w:color w:val="000000" w:themeColor="text1"/>
                <w:sz w:val="20"/>
                <w:szCs w:val="20"/>
                <w:lang w:val="en-US" w:eastAsia="zh-CN"/>
              </w:rPr>
            </w:pPr>
            <w:r>
              <w:rPr>
                <w:rFonts w:hint="eastAsia" w:ascii="楷体_GB2312" w:eastAsia="楷体_GB2312"/>
                <w:b/>
                <w:color w:val="000000" w:themeColor="text1"/>
                <w:sz w:val="20"/>
                <w:szCs w:val="20"/>
              </w:rPr>
              <w:t>内部沟通的情况：内部沟通方式：</w:t>
            </w:r>
            <w:r>
              <w:rPr>
                <w:rFonts w:hint="eastAsia" w:ascii="楷体_GB2312" w:eastAsia="楷体_GB2312"/>
                <w:b/>
                <w:color w:val="000000" w:themeColor="text1"/>
                <w:sz w:val="20"/>
                <w:szCs w:val="20"/>
                <w:lang w:val="en-US" w:eastAsia="zh-CN"/>
              </w:rPr>
              <w:t>会议、电话、网络会议、微信群等</w:t>
            </w:r>
          </w:p>
          <w:p>
            <w:pPr>
              <w:spacing w:line="240" w:lineRule="exact"/>
              <w:rPr>
                <w:rFonts w:hint="default" w:ascii="楷体_GB2312" w:eastAsia="楷体_GB2312"/>
                <w:b/>
                <w:color w:val="000000" w:themeColor="text1"/>
                <w:sz w:val="20"/>
                <w:szCs w:val="20"/>
                <w:lang w:val="en-US" w:eastAsia="zh-CN"/>
              </w:rPr>
            </w:pPr>
            <w:r>
              <w:rPr>
                <w:rFonts w:hint="eastAsia" w:ascii="楷体_GB2312" w:eastAsia="楷体_GB2312"/>
                <w:b/>
                <w:color w:val="000000" w:themeColor="text1"/>
                <w:sz w:val="20"/>
                <w:szCs w:val="20"/>
              </w:rPr>
              <w:t xml:space="preserve">                内部沟通的效果：</w:t>
            </w:r>
            <w:r>
              <w:rPr>
                <w:rFonts w:hint="eastAsia" w:ascii="楷体_GB2312" w:eastAsia="楷体_GB2312"/>
                <w:b/>
                <w:color w:val="000000" w:themeColor="text1"/>
                <w:sz w:val="20"/>
                <w:szCs w:val="20"/>
                <w:lang w:val="en-US" w:eastAsia="zh-CN"/>
              </w:rPr>
              <w:t>基本解决问题，公司正常运转。</w:t>
            </w:r>
          </w:p>
          <w:p>
            <w:pPr>
              <w:spacing w:line="240" w:lineRule="exact"/>
              <w:rPr>
                <w:rFonts w:ascii="楷体_GB2312" w:eastAsia="楷体_GB2312"/>
                <w:b/>
                <w:color w:val="000000" w:themeColor="text1"/>
                <w:sz w:val="20"/>
                <w:szCs w:val="20"/>
              </w:rPr>
            </w:pPr>
          </w:p>
          <w:p>
            <w:pPr>
              <w:spacing w:line="240" w:lineRule="exact"/>
              <w:rPr>
                <w:rFonts w:hint="default" w:ascii="楷体_GB2312" w:eastAsia="楷体_GB2312"/>
                <w:b/>
                <w:color w:val="000000" w:themeColor="text1"/>
                <w:sz w:val="20"/>
                <w:szCs w:val="20"/>
                <w:lang w:val="en-US" w:eastAsia="zh-CN"/>
              </w:rPr>
            </w:pPr>
            <w:r>
              <w:rPr>
                <w:rFonts w:hint="eastAsia" w:ascii="楷体_GB2312" w:eastAsia="楷体_GB2312"/>
                <w:b/>
                <w:color w:val="000000" w:themeColor="text1"/>
                <w:sz w:val="20"/>
                <w:szCs w:val="20"/>
              </w:rPr>
              <w:t>组织对外联络，关注顾客的感受情况（QMS）：</w:t>
            </w:r>
            <w:r>
              <w:rPr>
                <w:rFonts w:hint="eastAsia" w:ascii="楷体_GB2312" w:eastAsia="楷体_GB2312"/>
                <w:b/>
                <w:color w:val="000000" w:themeColor="text1"/>
                <w:sz w:val="20"/>
                <w:szCs w:val="20"/>
                <w:lang w:val="en-US" w:eastAsia="zh-CN"/>
              </w:rPr>
              <w:t>以顾客为关注焦点，从业务中标签订合同开始到保安服务过程中，记录甲方要求，及时做好记录反馈到公司总部。</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Cs w:val="21"/>
              </w:rPr>
            </w:pP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17"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firstLine="400" w:firstLineChars="200"/>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公司依据</w:t>
            </w:r>
            <w:r>
              <w:rPr>
                <w:rFonts w:hint="eastAsia" w:asciiTheme="minorEastAsia" w:hAnsiTheme="minorEastAsia" w:eastAsiaTheme="minorEastAsia"/>
                <w:color w:val="000000"/>
                <w:sz w:val="20"/>
                <w:szCs w:val="20"/>
                <w:lang w:val="en-US" w:eastAsia="zh-CN"/>
              </w:rPr>
              <w:t>合同</w:t>
            </w:r>
            <w:r>
              <w:rPr>
                <w:rFonts w:hint="eastAsia" w:asciiTheme="minorEastAsia" w:hAnsiTheme="minorEastAsia" w:eastAsiaTheme="minorEastAsia"/>
                <w:color w:val="000000"/>
                <w:sz w:val="20"/>
                <w:szCs w:val="20"/>
              </w:rPr>
              <w:t>订单，</w:t>
            </w:r>
            <w:r>
              <w:rPr>
                <w:rFonts w:hint="eastAsia" w:asciiTheme="minorEastAsia" w:hAnsiTheme="minorEastAsia" w:eastAsiaTheme="minorEastAsia"/>
                <w:color w:val="000000"/>
                <w:sz w:val="20"/>
                <w:szCs w:val="20"/>
                <w:lang w:val="en-US" w:eastAsia="zh-CN"/>
              </w:rPr>
              <w:t>编制保安服务方案</w:t>
            </w:r>
            <w:r>
              <w:rPr>
                <w:rFonts w:hint="eastAsia" w:asciiTheme="minorEastAsia" w:hAnsiTheme="minorEastAsia" w:eastAsiaTheme="minorEastAsia"/>
                <w:color w:val="000000"/>
                <w:sz w:val="20"/>
                <w:szCs w:val="20"/>
              </w:rPr>
              <w:t>，</w:t>
            </w:r>
            <w:r>
              <w:rPr>
                <w:rFonts w:hint="eastAsia" w:asciiTheme="minorEastAsia" w:hAnsiTheme="minorEastAsia" w:eastAsiaTheme="minorEastAsia"/>
                <w:color w:val="000000"/>
                <w:sz w:val="20"/>
                <w:szCs w:val="20"/>
                <w:lang w:val="en-US" w:eastAsia="zh-CN"/>
              </w:rPr>
              <w:t>经客户确认后，签订服务合同，人员进场；提供安保服务</w:t>
            </w:r>
            <w:r>
              <w:rPr>
                <w:rFonts w:hint="eastAsia" w:asciiTheme="minorEastAsia" w:hAnsiTheme="minorEastAsia" w:eastAsiaTheme="minorEastAsia"/>
                <w:color w:val="000000"/>
                <w:sz w:val="20"/>
                <w:szCs w:val="20"/>
              </w:rPr>
              <w:t>。</w:t>
            </w:r>
          </w:p>
          <w:p>
            <w:pPr>
              <w:spacing w:line="240" w:lineRule="exact"/>
              <w:rPr>
                <w:rFonts w:hint="eastAsia"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rPr>
              <w:t>通过</w:t>
            </w:r>
            <w:r>
              <w:rPr>
                <w:rFonts w:hint="eastAsia" w:asciiTheme="minorEastAsia" w:hAnsiTheme="minorEastAsia" w:eastAsiaTheme="minorEastAsia"/>
                <w:color w:val="000000"/>
                <w:sz w:val="20"/>
                <w:szCs w:val="20"/>
                <w:lang w:val="en-US" w:eastAsia="zh-CN"/>
              </w:rPr>
              <w:t xml:space="preserve">客户要求确认、现场服务人员、工作记录审查、现场过程检查等方式进行监控； </w:t>
            </w:r>
          </w:p>
          <w:p>
            <w:pPr>
              <w:spacing w:line="240" w:lineRule="exact"/>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lang w:val="en-US" w:eastAsia="zh-CN"/>
              </w:rPr>
              <w:t>编制了服务规范《保安服务管理制度》、</w:t>
            </w:r>
            <w:r>
              <w:rPr>
                <w:rFonts w:hint="eastAsia" w:asciiTheme="minorEastAsia" w:hAnsiTheme="minorEastAsia" w:eastAsiaTheme="minorEastAsia"/>
                <w:color w:val="000000"/>
                <w:sz w:val="20"/>
                <w:szCs w:val="20"/>
                <w:lang w:eastAsia="zh-CN"/>
              </w:rPr>
              <w:t>《</w:t>
            </w:r>
            <w:r>
              <w:rPr>
                <w:rFonts w:hint="eastAsia" w:asciiTheme="minorEastAsia" w:hAnsiTheme="minorEastAsia" w:eastAsiaTheme="minorEastAsia"/>
                <w:color w:val="000000"/>
                <w:sz w:val="20"/>
                <w:szCs w:val="20"/>
              </w:rPr>
              <w:t>保安巡逻管理制度</w:t>
            </w:r>
            <w:r>
              <w:rPr>
                <w:rFonts w:hint="eastAsia" w:asciiTheme="minorEastAsia" w:hAnsiTheme="minorEastAsia" w:eastAsiaTheme="minorEastAsia"/>
                <w:color w:val="000000"/>
                <w:sz w:val="20"/>
                <w:szCs w:val="20"/>
                <w:lang w:eastAsia="zh-CN"/>
              </w:rPr>
              <w:t>》</w:t>
            </w:r>
            <w:r>
              <w:rPr>
                <w:rFonts w:hint="eastAsia" w:asciiTheme="minorEastAsia" w:hAnsiTheme="minorEastAsia" w:eastAsiaTheme="minorEastAsia"/>
                <w:color w:val="000000"/>
                <w:sz w:val="20"/>
                <w:szCs w:val="20"/>
              </w:rPr>
              <w:t>、</w:t>
            </w:r>
            <w:r>
              <w:rPr>
                <w:rFonts w:hint="eastAsia" w:asciiTheme="minorEastAsia" w:hAnsiTheme="minorEastAsia" w:eastAsiaTheme="minorEastAsia"/>
                <w:color w:val="000000"/>
                <w:sz w:val="20"/>
                <w:szCs w:val="20"/>
                <w:lang w:eastAsia="zh-CN"/>
              </w:rPr>
              <w:t>《行为规范管理制度》、《小区物业保安规章制度》、《物业门卫管理制度》</w:t>
            </w:r>
            <w:r>
              <w:rPr>
                <w:rFonts w:hint="eastAsia" w:asciiTheme="minorEastAsia" w:hAnsiTheme="minorEastAsia" w:eastAsiaTheme="minorEastAsia"/>
                <w:color w:val="000000"/>
                <w:sz w:val="20"/>
                <w:szCs w:val="20"/>
                <w:lang w:val="en-US" w:eastAsia="zh-CN"/>
              </w:rPr>
              <w:t>等</w:t>
            </w:r>
            <w:r>
              <w:rPr>
                <w:rFonts w:hint="eastAsia" w:asciiTheme="minorEastAsia" w:hAnsiTheme="minorEastAsia" w:eastAsiaTheme="minorEastAsia"/>
                <w:color w:val="000000"/>
                <w:sz w:val="20"/>
                <w:szCs w:val="20"/>
              </w:rPr>
              <w:t>作业指导书实施了过程控制。</w:t>
            </w:r>
          </w:p>
          <w:p>
            <w:pPr>
              <w:spacing w:line="240" w:lineRule="exact"/>
              <w:rPr>
                <w:b/>
                <w:color w:val="000000" w:themeColor="text1"/>
                <w:sz w:val="20"/>
                <w:szCs w:val="20"/>
              </w:rPr>
            </w:pPr>
            <w:r>
              <w:rPr>
                <w:rFonts w:hint="eastAsia" w:asciiTheme="minorEastAsia" w:hAnsiTheme="minorEastAsia" w:eastAsiaTheme="minorEastAsia"/>
                <w:color w:val="000000"/>
                <w:sz w:val="20"/>
                <w:szCs w:val="20"/>
              </w:rPr>
              <w:t>对</w:t>
            </w:r>
            <w:r>
              <w:rPr>
                <w:rFonts w:hint="eastAsia" w:asciiTheme="minorEastAsia" w:hAnsiTheme="minorEastAsia" w:eastAsiaTheme="minorEastAsia"/>
                <w:color w:val="000000"/>
                <w:sz w:val="20"/>
                <w:szCs w:val="20"/>
                <w:lang w:val="en-US" w:eastAsia="zh-CN"/>
              </w:rPr>
              <w:t>整个服务提供</w:t>
            </w:r>
            <w:r>
              <w:rPr>
                <w:rFonts w:hint="eastAsia" w:asciiTheme="minorEastAsia" w:hAnsiTheme="minorEastAsia" w:eastAsiaTheme="minorEastAsia"/>
                <w:color w:val="000000"/>
                <w:sz w:val="20"/>
                <w:szCs w:val="20"/>
              </w:rPr>
              <w:t>过程进行了确认的证据。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17"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300" w:lineRule="exact"/>
              <w:rPr>
                <w:b/>
                <w:color w:val="000000" w:themeColor="text1"/>
                <w:sz w:val="20"/>
                <w:szCs w:val="20"/>
              </w:rPr>
            </w:pPr>
          </w:p>
          <w:p>
            <w:pPr>
              <w:spacing w:line="240" w:lineRule="exact"/>
              <w:ind w:firstLine="400" w:firstLineChars="200"/>
              <w:rPr>
                <w:rFonts w:hint="eastAsia" w:asciiTheme="minorEastAsia" w:hAnsiTheme="minorEastAsia" w:eastAsiaTheme="minorEastAsia"/>
                <w:color w:val="000000"/>
                <w:sz w:val="20"/>
                <w:szCs w:val="20"/>
                <w:lang w:val="zh-CN" w:eastAsia="zh-CN"/>
              </w:rPr>
            </w:pPr>
            <w:r>
              <w:rPr>
                <w:rFonts w:hint="eastAsia" w:asciiTheme="minorEastAsia" w:hAnsiTheme="minorEastAsia" w:eastAsiaTheme="minorEastAsia"/>
                <w:color w:val="000000"/>
                <w:sz w:val="20"/>
                <w:szCs w:val="20"/>
                <w:lang w:val="zh-CN" w:eastAsia="zh-CN"/>
              </w:rPr>
              <w:t>公司通过电话，走访等形式，接受顾客反馈，了解顾客满意度信息，发放调查表对顾客满意度进行定量测量。</w:t>
            </w:r>
          </w:p>
          <w:p>
            <w:pPr>
              <w:spacing w:line="240" w:lineRule="exact"/>
              <w:rPr>
                <w:rFonts w:hint="eastAsia"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zh-CN" w:eastAsia="zh-CN"/>
              </w:rPr>
              <w:t>提供“顾客满意程度调查表”，调查结果满意度达到96</w:t>
            </w:r>
            <w:r>
              <w:rPr>
                <w:rFonts w:hint="eastAsia" w:asciiTheme="minorEastAsia" w:hAnsiTheme="minorEastAsia" w:eastAsiaTheme="minorEastAsia"/>
                <w:color w:val="000000"/>
                <w:sz w:val="20"/>
                <w:szCs w:val="20"/>
                <w:lang w:val="en-US" w:eastAsia="zh-CN"/>
              </w:rPr>
              <w:t>.5</w:t>
            </w:r>
            <w:r>
              <w:rPr>
                <w:rFonts w:hint="eastAsia" w:asciiTheme="minorEastAsia" w:hAnsiTheme="minorEastAsia" w:eastAsiaTheme="minorEastAsia"/>
                <w:color w:val="000000"/>
                <w:sz w:val="20"/>
                <w:szCs w:val="20"/>
                <w:lang w:val="zh-CN" w:eastAsia="zh-CN"/>
              </w:rPr>
              <w:t>%，满足目标要求。</w:t>
            </w: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(应说明相关证据)：</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17"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240" w:lineRule="exact"/>
              <w:ind w:firstLine="201" w:firstLineChars="100"/>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p>
            <w:pPr>
              <w:spacing w:line="240" w:lineRule="exact"/>
              <w:rPr>
                <w:b/>
                <w:color w:val="000000" w:themeColor="text1"/>
                <w:sz w:val="20"/>
                <w:szCs w:val="20"/>
              </w:rPr>
            </w:pP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p>
            <w:pPr>
              <w:spacing w:line="300" w:lineRule="exact"/>
              <w:jc w:val="lef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5" w:hRule="atLeast"/>
          <w:jc w:val="center"/>
        </w:trPr>
        <w:tc>
          <w:tcPr>
            <w:tcW w:w="720" w:type="dxa"/>
            <w:vMerge w:val="continue"/>
            <w:vAlign w:val="center"/>
          </w:tcPr>
          <w:p>
            <w:pPr>
              <w:spacing w:line="240" w:lineRule="exact"/>
              <w:jc w:val="center"/>
              <w:rPr>
                <w:b/>
                <w:color w:val="000000" w:themeColor="text1"/>
                <w:szCs w:val="21"/>
              </w:rPr>
            </w:pPr>
          </w:p>
        </w:tc>
        <w:tc>
          <w:tcPr>
            <w:tcW w:w="9117"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400" w:firstLineChars="200"/>
              <w:rPr>
                <w:rFonts w:hint="default"/>
                <w:b/>
                <w:color w:val="000000" w:themeColor="text1"/>
                <w:sz w:val="20"/>
                <w:szCs w:val="20"/>
                <w:lang w:val="en-US"/>
              </w:rPr>
            </w:pPr>
            <w:r>
              <w:rPr>
                <w:rFonts w:hint="eastAsia" w:asciiTheme="minorEastAsia" w:hAnsiTheme="minorEastAsia" w:eastAsiaTheme="minorEastAsia"/>
                <w:color w:val="000000"/>
                <w:sz w:val="20"/>
                <w:szCs w:val="20"/>
                <w:lang w:val="zh-CN" w:eastAsia="zh-CN"/>
              </w:rPr>
              <w:t>编制了不合格</w:t>
            </w:r>
            <w:r>
              <w:rPr>
                <w:rFonts w:hint="eastAsia" w:asciiTheme="minorEastAsia" w:hAnsiTheme="minorEastAsia" w:eastAsiaTheme="minorEastAsia"/>
                <w:color w:val="000000"/>
                <w:sz w:val="20"/>
                <w:szCs w:val="20"/>
                <w:lang w:val="en-US" w:eastAsia="zh-CN"/>
              </w:rPr>
              <w:t>服务</w:t>
            </w:r>
            <w:r>
              <w:rPr>
                <w:rFonts w:hint="eastAsia" w:asciiTheme="minorEastAsia" w:hAnsiTheme="minorEastAsia" w:eastAsiaTheme="minorEastAsia"/>
                <w:color w:val="000000"/>
                <w:sz w:val="20"/>
                <w:szCs w:val="20"/>
                <w:lang w:val="zh-CN" w:eastAsia="zh-CN"/>
              </w:rPr>
              <w:t>控制程序，对不合格</w:t>
            </w:r>
            <w:r>
              <w:rPr>
                <w:rFonts w:hint="eastAsia" w:asciiTheme="minorEastAsia" w:hAnsiTheme="minorEastAsia" w:eastAsiaTheme="minorEastAsia"/>
                <w:color w:val="000000"/>
                <w:sz w:val="20"/>
                <w:szCs w:val="20"/>
                <w:lang w:val="en-US" w:eastAsia="zh-CN"/>
              </w:rPr>
              <w:t>服务</w:t>
            </w:r>
            <w:r>
              <w:rPr>
                <w:rFonts w:hint="eastAsia" w:asciiTheme="minorEastAsia" w:hAnsiTheme="minorEastAsia" w:eastAsiaTheme="minorEastAsia"/>
                <w:color w:val="000000"/>
                <w:sz w:val="20"/>
                <w:szCs w:val="20"/>
                <w:lang w:val="zh-CN" w:eastAsia="zh-CN"/>
              </w:rPr>
              <w:t>进行了有效控制。</w:t>
            </w:r>
            <w:r>
              <w:rPr>
                <w:rFonts w:hint="eastAsia" w:asciiTheme="minorEastAsia" w:hAnsiTheme="minorEastAsia" w:eastAsiaTheme="minorEastAsia"/>
                <w:color w:val="000000"/>
                <w:sz w:val="20"/>
                <w:szCs w:val="20"/>
                <w:lang w:val="en-US" w:eastAsia="zh-CN"/>
              </w:rPr>
              <w:t>通过日常培训、知识总结等持续提升能力，减少日常不合格服务，提升服务满意度。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720" w:type="dxa"/>
            <w:vMerge w:val="continue"/>
            <w:vAlign w:val="center"/>
          </w:tcPr>
          <w:p>
            <w:pPr>
              <w:spacing w:line="240" w:lineRule="exact"/>
              <w:jc w:val="center"/>
              <w:rPr>
                <w:b/>
                <w:color w:val="000000" w:themeColor="text1"/>
                <w:szCs w:val="21"/>
              </w:rPr>
            </w:pPr>
          </w:p>
        </w:tc>
        <w:tc>
          <w:tcPr>
            <w:tcW w:w="9117"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720" w:type="dxa"/>
            <w:vMerge w:val="continue"/>
            <w:vAlign w:val="center"/>
          </w:tcPr>
          <w:p>
            <w:pPr>
              <w:spacing w:line="240" w:lineRule="exact"/>
              <w:jc w:val="center"/>
              <w:rPr>
                <w:b/>
                <w:color w:val="000000" w:themeColor="text1"/>
                <w:szCs w:val="21"/>
              </w:rPr>
            </w:pPr>
          </w:p>
        </w:tc>
        <w:tc>
          <w:tcPr>
            <w:tcW w:w="9117" w:type="dxa"/>
          </w:tcPr>
          <w:p>
            <w:pPr>
              <w:spacing w:line="240" w:lineRule="exact"/>
              <w:rPr>
                <w:b/>
                <w:color w:val="000000" w:themeColor="text1"/>
                <w:sz w:val="20"/>
                <w:szCs w:val="20"/>
              </w:rPr>
            </w:pPr>
            <w:r>
              <w:rPr>
                <w:rFonts w:hint="eastAsia"/>
                <w:b/>
                <w:color w:val="000000" w:themeColor="text1"/>
                <w:sz w:val="20"/>
                <w:szCs w:val="20"/>
              </w:rPr>
              <w:t>8. OHSMS组织对不可接受风险实施控制的结果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1" w:hRule="atLeast"/>
          <w:jc w:val="center"/>
        </w:trPr>
        <w:tc>
          <w:tcPr>
            <w:tcW w:w="720" w:type="dxa"/>
            <w:vMerge w:val="continue"/>
            <w:vAlign w:val="center"/>
          </w:tcPr>
          <w:p>
            <w:pPr>
              <w:spacing w:line="240" w:lineRule="exact"/>
              <w:jc w:val="center"/>
              <w:rPr>
                <w:b/>
                <w:color w:val="000000" w:themeColor="text1"/>
                <w:szCs w:val="21"/>
              </w:rPr>
            </w:pPr>
          </w:p>
        </w:tc>
        <w:tc>
          <w:tcPr>
            <w:tcW w:w="9117"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hint="default" w:eastAsia="宋体"/>
                <w:b/>
                <w:color w:val="000000" w:themeColor="text1"/>
                <w:spacing w:val="-4"/>
                <w:sz w:val="20"/>
                <w:szCs w:val="20"/>
                <w:lang w:val="en-US" w:eastAsia="zh-CN"/>
              </w:rPr>
            </w:pPr>
            <w:r>
              <w:rPr>
                <w:rFonts w:hint="eastAsia"/>
                <w:b/>
                <w:color w:val="000000" w:themeColor="text1"/>
                <w:spacing w:val="-4"/>
                <w:sz w:val="20"/>
                <w:szCs w:val="20"/>
                <w:lang w:val="en-US" w:eastAsia="zh-CN"/>
              </w:rPr>
              <w:t xml:space="preserve">   </w:t>
            </w:r>
            <w:r>
              <w:rPr>
                <w:rFonts w:hint="eastAsia" w:asciiTheme="minorEastAsia" w:hAnsiTheme="minorEastAsia" w:eastAsiaTheme="minorEastAsia"/>
                <w:color w:val="000000"/>
                <w:sz w:val="20"/>
                <w:szCs w:val="20"/>
                <w:lang w:val="en-US" w:eastAsia="zh-CN"/>
              </w:rPr>
              <w:t xml:space="preserve"> 开展保安服务过程中可能出现的意外情况的应急演练。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17" w:type="dxa"/>
          </w:tcPr>
          <w:p>
            <w:pPr>
              <w:spacing w:line="240" w:lineRule="exact"/>
              <w:rPr>
                <w:b/>
                <w:color w:val="000000" w:themeColor="text1"/>
                <w:sz w:val="20"/>
                <w:szCs w:val="20"/>
              </w:rPr>
            </w:pPr>
            <w:r>
              <w:rPr>
                <w:rFonts w:hint="eastAsia"/>
                <w:b/>
                <w:color w:val="000000" w:themeColor="text1"/>
                <w:sz w:val="20"/>
                <w:szCs w:val="20"/>
              </w:rPr>
              <w:t xml:space="preserve">10. 对特种设备的维护，检定; </w:t>
            </w:r>
          </w:p>
          <w:p>
            <w:pPr>
              <w:spacing w:line="240" w:lineRule="exact"/>
              <w:rPr>
                <w:b/>
                <w:color w:val="000000" w:themeColor="text1"/>
                <w:sz w:val="20"/>
                <w:szCs w:val="20"/>
              </w:rPr>
            </w:pPr>
          </w:p>
          <w:p>
            <w:pPr>
              <w:spacing w:line="240" w:lineRule="exact"/>
              <w:ind w:firstLine="400" w:firstLineChars="200"/>
              <w:rPr>
                <w:rFonts w:hint="default" w:eastAsia="宋体"/>
                <w:b/>
                <w:color w:val="000000" w:themeColor="text1"/>
                <w:sz w:val="20"/>
                <w:szCs w:val="20"/>
                <w:lang w:val="en-US" w:eastAsia="zh-CN"/>
              </w:rPr>
            </w:pPr>
            <w:r>
              <w:rPr>
                <w:rFonts w:hint="eastAsia" w:asciiTheme="minorEastAsia" w:hAnsiTheme="minorEastAsia" w:eastAsiaTheme="minorEastAsia"/>
                <w:color w:val="000000"/>
                <w:sz w:val="20"/>
                <w:szCs w:val="20"/>
                <w:lang w:val="en-US" w:eastAsia="zh-CN"/>
              </w:rPr>
              <w:t>无特种设备。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jc w:val="center"/>
        </w:trPr>
        <w:tc>
          <w:tcPr>
            <w:tcW w:w="720" w:type="dxa"/>
            <w:vMerge w:val="continue"/>
            <w:vAlign w:val="center"/>
          </w:tcPr>
          <w:p>
            <w:pPr>
              <w:spacing w:line="240" w:lineRule="exact"/>
              <w:jc w:val="center"/>
              <w:rPr>
                <w:b/>
                <w:color w:val="000000" w:themeColor="text1"/>
                <w:szCs w:val="21"/>
              </w:rPr>
            </w:pPr>
          </w:p>
        </w:tc>
        <w:tc>
          <w:tcPr>
            <w:tcW w:w="9117" w:type="dxa"/>
          </w:tcPr>
          <w:p>
            <w:pPr>
              <w:spacing w:line="240" w:lineRule="exact"/>
              <w:rPr>
                <w:rFonts w:hint="eastAsia"/>
                <w:b/>
                <w:color w:val="000000" w:themeColor="text1"/>
                <w:sz w:val="20"/>
                <w:szCs w:val="20"/>
              </w:rPr>
            </w:pPr>
            <w:r>
              <w:rPr>
                <w:rFonts w:hint="eastAsia"/>
                <w:b/>
                <w:color w:val="000000" w:themeColor="text1"/>
                <w:sz w:val="20"/>
                <w:szCs w:val="20"/>
              </w:rPr>
              <w:t>11 .对危险化学品销售、使用、储存、运输处置，规定的执行力度(必要时);</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17"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rPr>
                <w:rFonts w:hint="eastAsia" w:asciiTheme="minorEastAsia" w:hAnsiTheme="minorEastAsia" w:eastAsiaTheme="minorEastAsia"/>
                <w:color w:val="000000"/>
                <w:sz w:val="20"/>
                <w:szCs w:val="20"/>
                <w:lang w:val="en-US" w:eastAsia="zh-CN"/>
              </w:rPr>
            </w:pPr>
            <w:r>
              <w:rPr>
                <w:rFonts w:hint="eastAsia"/>
                <w:b/>
                <w:color w:val="000000" w:themeColor="text1"/>
                <w:sz w:val="20"/>
                <w:szCs w:val="20"/>
                <w:lang w:val="en-US" w:eastAsia="zh-CN"/>
              </w:rPr>
              <w:t xml:space="preserve">    </w:t>
            </w:r>
            <w:r>
              <w:rPr>
                <w:rFonts w:hint="eastAsia" w:asciiTheme="minorEastAsia" w:hAnsiTheme="minorEastAsia" w:eastAsiaTheme="minorEastAsia"/>
                <w:color w:val="000000"/>
                <w:sz w:val="20"/>
                <w:szCs w:val="20"/>
                <w:lang w:val="en-US" w:eastAsia="zh-CN"/>
              </w:rPr>
              <w:t>公司收集和分析适当的数据，评价公司管理体系的适宜性和有效性，充分识别可以改进的机会</w:t>
            </w:r>
          </w:p>
          <w:p>
            <w:pPr>
              <w:spacing w:line="240" w:lineRule="exact"/>
              <w:rPr>
                <w:b/>
                <w:color w:val="000000" w:themeColor="text1"/>
                <w:sz w:val="20"/>
                <w:szCs w:val="20"/>
              </w:rPr>
            </w:pPr>
            <w:r>
              <w:rPr>
                <w:rFonts w:hint="eastAsia" w:asciiTheme="minorEastAsia" w:hAnsiTheme="minorEastAsia" w:eastAsiaTheme="minorEastAsia"/>
                <w:color w:val="000000"/>
                <w:sz w:val="20"/>
                <w:szCs w:val="20"/>
                <w:lang w:val="en-US" w:eastAsia="zh-CN"/>
              </w:rPr>
              <w:t>提供了公司质量管理体系运行情况报告，包括服务交付合格率、顾客满意率、运行过程控制、供方业绩评定、体系运行绩效情况等方面的汇总分析，工作成果符合预期效果，提出继续保持建议。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17" w:type="dxa"/>
          </w:tcPr>
          <w:p>
            <w:pPr>
              <w:numPr>
                <w:numId w:val="0"/>
              </w:numPr>
              <w:spacing w:line="240" w:lineRule="exact"/>
              <w:rPr>
                <w:rFonts w:hint="eastAsia"/>
                <w:b/>
                <w:color w:val="000000" w:themeColor="text1"/>
                <w:sz w:val="20"/>
                <w:szCs w:val="20"/>
              </w:rPr>
            </w:pPr>
            <w:r>
              <w:rPr>
                <w:rFonts w:hint="eastAsia"/>
                <w:b/>
                <w:color w:val="000000" w:themeColor="text1"/>
                <w:sz w:val="20"/>
                <w:szCs w:val="20"/>
                <w:lang w:val="en-US" w:eastAsia="zh-CN"/>
              </w:rPr>
              <w:t>2 .</w:t>
            </w:r>
            <w:r>
              <w:rPr>
                <w:rFonts w:hint="eastAsia"/>
                <w:b/>
                <w:color w:val="000000" w:themeColor="text1"/>
                <w:sz w:val="20"/>
                <w:szCs w:val="20"/>
              </w:rPr>
              <w:t>顾客满意</w:t>
            </w:r>
          </w:p>
          <w:p>
            <w:pPr>
              <w:numPr>
                <w:numId w:val="0"/>
              </w:numPr>
              <w:spacing w:line="240" w:lineRule="exact"/>
              <w:ind w:leftChars="-79"/>
              <w:rPr>
                <w:rFonts w:hint="eastAsia"/>
                <w:b/>
                <w:color w:val="000000" w:themeColor="text1"/>
                <w:sz w:val="20"/>
                <w:szCs w:val="20"/>
              </w:rPr>
            </w:pPr>
          </w:p>
          <w:p>
            <w:pPr>
              <w:ind w:firstLine="420" w:firstLineChars="200"/>
              <w:rPr>
                <w:rFonts w:asciiTheme="minorEastAsia" w:hAnsiTheme="minorEastAsia" w:eastAsiaTheme="minorEastAsia"/>
                <w:szCs w:val="21"/>
                <w:lang w:val="zh-CN"/>
              </w:rPr>
            </w:pPr>
            <w:r>
              <w:rPr>
                <w:rFonts w:hint="eastAsia" w:asciiTheme="minorEastAsia" w:hAnsiTheme="minorEastAsia" w:eastAsiaTheme="minorEastAsia"/>
                <w:szCs w:val="21"/>
                <w:lang w:val="zh-CN"/>
              </w:rPr>
              <w:t>公司通过电话，走访等形式，接受顾客反馈，了解顾客满意度信息，发放调查表对顾客满意度进行定量测量。</w:t>
            </w:r>
          </w:p>
          <w:p>
            <w:pPr>
              <w:spacing w:line="240" w:lineRule="exact"/>
              <w:rPr>
                <w:rFonts w:asciiTheme="minorEastAsia" w:hAnsiTheme="minorEastAsia" w:eastAsiaTheme="minorEastAsia"/>
                <w:b/>
                <w:color w:val="000000"/>
                <w:sz w:val="20"/>
                <w:szCs w:val="20"/>
              </w:rPr>
            </w:pPr>
            <w:r>
              <w:rPr>
                <w:rFonts w:hint="eastAsia" w:asciiTheme="minorEastAsia" w:hAnsiTheme="minorEastAsia" w:eastAsiaTheme="minorEastAsia"/>
                <w:szCs w:val="21"/>
                <w:lang w:val="zh-CN"/>
              </w:rPr>
              <w:t>提供“顾客满意程度调查表”，顾客较满意。</w:t>
            </w:r>
          </w:p>
          <w:p>
            <w:pPr>
              <w:numPr>
                <w:numId w:val="0"/>
              </w:numPr>
              <w:spacing w:line="240" w:lineRule="exact"/>
              <w:ind w:leftChars="-79"/>
              <w:rPr>
                <w:rFonts w:hint="eastAsia"/>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17"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000000" w:themeColor="text1"/>
                <w:spacing w:val="-8"/>
                <w:sz w:val="20"/>
                <w:szCs w:val="20"/>
              </w:rPr>
            </w:pPr>
          </w:p>
          <w:p>
            <w:pPr>
              <w:ind w:firstLine="420" w:firstLineChars="200"/>
              <w:rPr>
                <w:rFonts w:asciiTheme="minorEastAsia" w:hAnsiTheme="minorEastAsia" w:eastAsiaTheme="minorEastAsia"/>
              </w:rPr>
            </w:pPr>
            <w:r>
              <w:rPr>
                <w:rFonts w:hint="eastAsia" w:asciiTheme="minorEastAsia" w:hAnsiTheme="minorEastAsia" w:eastAsiaTheme="minorEastAsia"/>
              </w:rPr>
              <w:t>公司制定《内部审核控制程序》，对内部审核方案策划规定：</w:t>
            </w:r>
          </w:p>
          <w:p>
            <w:pPr>
              <w:rPr>
                <w:rFonts w:asciiTheme="minorEastAsia" w:hAnsiTheme="minorEastAsia" w:eastAsiaTheme="minorEastAsia"/>
              </w:rPr>
            </w:pPr>
            <w:r>
              <w:rPr>
                <w:rFonts w:asciiTheme="minorEastAsia" w:hAnsiTheme="minorEastAsia" w:eastAsiaTheme="minorEastAsia"/>
              </w:rPr>
              <w:t>1.</w:t>
            </w:r>
            <w:r>
              <w:rPr>
                <w:rFonts w:hint="eastAsia" w:asciiTheme="minorEastAsia" w:hAnsiTheme="minorEastAsia" w:eastAsiaTheme="minorEastAsia"/>
              </w:rPr>
              <w:t>频次：内审每年进行一次，两次内部审核的时间间隔不超过</w:t>
            </w:r>
            <w:r>
              <w:rPr>
                <w:rFonts w:asciiTheme="minorEastAsia" w:hAnsiTheme="minorEastAsia" w:eastAsiaTheme="minorEastAsia"/>
              </w:rPr>
              <w:t>12</w:t>
            </w:r>
            <w:r>
              <w:rPr>
                <w:rFonts w:hint="eastAsia" w:asciiTheme="minorEastAsia" w:hAnsiTheme="minorEastAsia" w:eastAsiaTheme="minorEastAsia"/>
              </w:rPr>
              <w:t>个月。</w:t>
            </w:r>
          </w:p>
          <w:p>
            <w:pPr>
              <w:rPr>
                <w:rFonts w:asciiTheme="minorEastAsia" w:hAnsiTheme="minorEastAsia" w:eastAsiaTheme="minorEastAsia"/>
              </w:rPr>
            </w:pPr>
            <w:r>
              <w:rPr>
                <w:rFonts w:asciiTheme="minorEastAsia" w:hAnsiTheme="minorEastAsia" w:eastAsiaTheme="minorEastAsia"/>
              </w:rPr>
              <w:t>2.</w:t>
            </w:r>
            <w:r>
              <w:rPr>
                <w:rFonts w:hint="eastAsia" w:asciiTheme="minorEastAsia" w:hAnsiTheme="minorEastAsia" w:eastAsiaTheme="minorEastAsia"/>
              </w:rPr>
              <w:t>方法：按部门</w:t>
            </w:r>
            <w:r>
              <w:rPr>
                <w:rFonts w:asciiTheme="minorEastAsia" w:hAnsiTheme="minorEastAsia" w:eastAsiaTheme="minorEastAsia"/>
              </w:rPr>
              <w:t>/</w:t>
            </w:r>
            <w:r>
              <w:rPr>
                <w:rFonts w:hint="eastAsia" w:asciiTheme="minorEastAsia" w:hAnsiTheme="minorEastAsia" w:eastAsiaTheme="minorEastAsia"/>
              </w:rPr>
              <w:t>过程审核。</w:t>
            </w:r>
          </w:p>
          <w:p>
            <w:pPr>
              <w:rPr>
                <w:rFonts w:asciiTheme="minorEastAsia" w:hAnsiTheme="minorEastAsia" w:eastAsiaTheme="minorEastAsia"/>
              </w:rPr>
            </w:pPr>
            <w:r>
              <w:rPr>
                <w:rFonts w:asciiTheme="minorEastAsia" w:hAnsiTheme="minorEastAsia" w:eastAsiaTheme="minorEastAsia"/>
              </w:rPr>
              <w:t>3.</w:t>
            </w:r>
            <w:r>
              <w:rPr>
                <w:rFonts w:hint="eastAsia" w:asciiTheme="minorEastAsia" w:hAnsiTheme="minorEastAsia" w:eastAsiaTheme="minorEastAsia"/>
              </w:rPr>
              <w:t>职责：体系负责人组织内部审核活动。</w:t>
            </w:r>
          </w:p>
          <w:p>
            <w:pPr>
              <w:rPr>
                <w:rFonts w:asciiTheme="minorEastAsia" w:hAnsiTheme="minorEastAsia" w:eastAsiaTheme="minorEastAsia"/>
              </w:rPr>
            </w:pPr>
            <w:r>
              <w:rPr>
                <w:rFonts w:asciiTheme="minorEastAsia" w:hAnsiTheme="minorEastAsia" w:eastAsiaTheme="minorEastAsia"/>
              </w:rPr>
              <w:t>4.</w:t>
            </w:r>
            <w:r>
              <w:rPr>
                <w:rFonts w:hint="eastAsia" w:asciiTheme="minorEastAsia" w:hAnsiTheme="minorEastAsia" w:eastAsiaTheme="minorEastAsia"/>
              </w:rPr>
              <w:t>策划要求：范围、准则、工作分配等。</w:t>
            </w:r>
          </w:p>
          <w:p>
            <w:pPr>
              <w:rPr>
                <w:rFonts w:asciiTheme="minorEastAsia" w:hAnsiTheme="minorEastAsia" w:eastAsiaTheme="minorEastAsia"/>
              </w:rPr>
            </w:pPr>
            <w:r>
              <w:rPr>
                <w:rFonts w:asciiTheme="minorEastAsia" w:hAnsiTheme="minorEastAsia" w:eastAsiaTheme="minorEastAsia"/>
              </w:rPr>
              <w:t>5.</w:t>
            </w:r>
            <w:r>
              <w:rPr>
                <w:rFonts w:hint="eastAsia" w:asciiTheme="minorEastAsia" w:hAnsiTheme="minorEastAsia" w:eastAsiaTheme="minorEastAsia"/>
              </w:rPr>
              <w:t>报告：体系负责人在内部审核结束及纠正措施完成后应向总经理报告审核结果。</w:t>
            </w:r>
          </w:p>
          <w:p>
            <w:pPr>
              <w:rPr>
                <w:rFonts w:asciiTheme="minorEastAsia" w:hAnsiTheme="minorEastAsia" w:eastAsiaTheme="minorEastAsia"/>
                <w:szCs w:val="21"/>
              </w:rPr>
            </w:pPr>
            <w:r>
              <w:rPr>
                <w:rFonts w:asciiTheme="minorEastAsia" w:hAnsiTheme="minorEastAsia" w:eastAsiaTheme="minorEastAsia"/>
              </w:rPr>
              <w:t>6.</w:t>
            </w:r>
            <w:r>
              <w:rPr>
                <w:rFonts w:hint="eastAsia" w:asciiTheme="minorEastAsia" w:hAnsiTheme="minorEastAsia" w:eastAsiaTheme="minorEastAsia"/>
              </w:rPr>
              <w:t>提供了《</w:t>
            </w:r>
            <w:r>
              <w:rPr>
                <w:rFonts w:hint="eastAsia" w:asciiTheme="minorEastAsia" w:hAnsiTheme="minorEastAsia" w:eastAsiaTheme="minorEastAsia"/>
                <w:lang w:val="en-US" w:eastAsia="zh-CN"/>
              </w:rPr>
              <w:t>2020</w:t>
            </w:r>
            <w:r>
              <w:rPr>
                <w:rFonts w:hint="eastAsia" w:asciiTheme="minorEastAsia" w:hAnsiTheme="minorEastAsia" w:eastAsiaTheme="minorEastAsia"/>
              </w:rPr>
              <w:t>年内部审核实施计划》，发布了内部管理体系审核通知，计划内容有：目的、范围、审核准则、审核时间</w:t>
            </w:r>
            <w:r>
              <w:rPr>
                <w:rFonts w:hint="eastAsia" w:ascii="宋体" w:hAnsi="宋体" w:cs="宋体"/>
                <w:szCs w:val="21"/>
              </w:rPr>
              <w:t>2020年</w:t>
            </w:r>
            <w:r>
              <w:rPr>
                <w:rFonts w:hint="eastAsia" w:ascii="宋体" w:hAnsi="宋体" w:cs="宋体"/>
                <w:szCs w:val="21"/>
                <w:lang w:val="en-US" w:eastAsia="zh-CN"/>
              </w:rPr>
              <w:t>9</w:t>
            </w:r>
            <w:r>
              <w:rPr>
                <w:rFonts w:hint="eastAsia" w:ascii="宋体" w:hAnsi="宋体" w:cs="宋体"/>
                <w:szCs w:val="21"/>
              </w:rPr>
              <w:t>月</w:t>
            </w:r>
            <w:r>
              <w:rPr>
                <w:rFonts w:hint="eastAsia" w:ascii="宋体" w:hAnsi="宋体" w:cs="宋体"/>
                <w:szCs w:val="21"/>
                <w:lang w:val="en-US" w:eastAsia="zh-CN"/>
              </w:rPr>
              <w:t>18~19</w:t>
            </w:r>
            <w:r>
              <w:rPr>
                <w:rFonts w:hint="eastAsia" w:asciiTheme="minorEastAsia" w:hAnsiTheme="minorEastAsia" w:eastAsiaTheme="minorEastAsia"/>
              </w:rPr>
              <w:t>。</w:t>
            </w:r>
          </w:p>
          <w:p>
            <w:pPr>
              <w:rPr>
                <w:rFonts w:asciiTheme="minorEastAsia" w:hAnsiTheme="minorEastAsia" w:eastAsiaTheme="minorEastAsia"/>
              </w:rPr>
            </w:pPr>
            <w:r>
              <w:rPr>
                <w:rFonts w:asciiTheme="minorEastAsia" w:hAnsiTheme="minorEastAsia" w:eastAsiaTheme="minorEastAsia"/>
                <w:szCs w:val="21"/>
              </w:rPr>
              <w:t>7</w:t>
            </w:r>
            <w:r>
              <w:rPr>
                <w:rFonts w:asciiTheme="minorEastAsia" w:hAnsiTheme="minorEastAsia" w:eastAsiaTheme="minorEastAsia"/>
              </w:rPr>
              <w:t>.</w:t>
            </w:r>
            <w:r>
              <w:rPr>
                <w:rFonts w:hint="eastAsia" w:asciiTheme="minorEastAsia" w:hAnsiTheme="minorEastAsia" w:eastAsiaTheme="minorEastAsia"/>
              </w:rPr>
              <w:t>提供了《内审检查表》，经查阅对照，受审核部门涉及条款与公司管理体系职责分配相一致。审核记录基本满足要求。</w:t>
            </w:r>
          </w:p>
          <w:p>
            <w:pPr>
              <w:spacing w:line="360" w:lineRule="exact"/>
              <w:rPr>
                <w:rFonts w:asciiTheme="minorEastAsia" w:hAnsiTheme="minorEastAsia" w:eastAsiaTheme="minorEastAsia"/>
              </w:rPr>
            </w:pPr>
            <w:r>
              <w:rPr>
                <w:rFonts w:hint="eastAsia" w:asciiTheme="minorEastAsia" w:hAnsiTheme="minorEastAsia" w:eastAsiaTheme="minorEastAsia"/>
              </w:rPr>
              <w:t>8</w:t>
            </w:r>
            <w:r>
              <w:rPr>
                <w:rFonts w:asciiTheme="minorEastAsia" w:hAnsiTheme="minorEastAsia" w:eastAsiaTheme="minorEastAsia"/>
              </w:rPr>
              <w:t>.</w:t>
            </w:r>
            <w:r>
              <w:rPr>
                <w:rFonts w:hint="eastAsia" w:asciiTheme="minorEastAsia" w:hAnsiTheme="minorEastAsia" w:eastAsiaTheme="minorEastAsia"/>
              </w:rPr>
              <w:t>提供了《内审不合格报告》针对发现的</w:t>
            </w:r>
            <w:r>
              <w:rPr>
                <w:rFonts w:hint="eastAsia" w:asciiTheme="minorEastAsia" w:hAnsiTheme="minorEastAsia" w:eastAsiaTheme="minorEastAsia"/>
                <w:lang w:val="en-US" w:eastAsia="zh-CN"/>
              </w:rPr>
              <w:t>2</w:t>
            </w:r>
            <w:r>
              <w:rPr>
                <w:rFonts w:hint="eastAsia" w:asciiTheme="minorEastAsia" w:hAnsiTheme="minorEastAsia" w:eastAsiaTheme="minorEastAsia"/>
              </w:rPr>
              <w:t>项不符合，进行了原因分析并制定纠正措施计划，经过审核组验证，纠正措施有效。</w:t>
            </w:r>
          </w:p>
          <w:p>
            <w:pPr>
              <w:spacing w:line="360" w:lineRule="exact"/>
              <w:rPr>
                <w:rFonts w:asciiTheme="minorEastAsia" w:hAnsiTheme="minorEastAsia" w:eastAsiaTheme="minorEastAsia"/>
              </w:rPr>
            </w:pPr>
            <w:r>
              <w:rPr>
                <w:rFonts w:hint="eastAsia" w:asciiTheme="minorEastAsia" w:hAnsiTheme="minorEastAsia" w:eastAsiaTheme="minorEastAsia"/>
              </w:rPr>
              <w:t>9</w:t>
            </w:r>
            <w:r>
              <w:rPr>
                <w:rFonts w:asciiTheme="minorEastAsia" w:hAnsiTheme="minorEastAsia" w:eastAsiaTheme="minorEastAsia"/>
              </w:rPr>
              <w:t>.</w:t>
            </w:r>
            <w:r>
              <w:rPr>
                <w:rFonts w:hint="eastAsia" w:asciiTheme="minorEastAsia" w:hAnsiTheme="minorEastAsia" w:eastAsiaTheme="minorEastAsia"/>
              </w:rPr>
              <w:t>提供《审核报告》审核报告中包括审核目的、审核范围、审核依据、审核内容摘要、审核结论等内容，对审核过程进行了综述。</w:t>
            </w:r>
          </w:p>
          <w:p>
            <w:pPr>
              <w:spacing w:line="240" w:lineRule="exact"/>
              <w:rPr>
                <w:b/>
                <w:color w:val="000000" w:themeColor="text1"/>
                <w:sz w:val="20"/>
                <w:szCs w:val="20"/>
              </w:rPr>
            </w:pPr>
            <w:r>
              <w:rPr>
                <w:rFonts w:hint="eastAsia" w:asciiTheme="minorEastAsia" w:hAnsiTheme="minorEastAsia" w:eastAsiaTheme="minorEastAsia"/>
              </w:rPr>
              <w:t>审核结论：</w:t>
            </w:r>
            <w:r>
              <w:rPr>
                <w:rFonts w:hint="eastAsia"/>
                <w:szCs w:val="21"/>
              </w:rPr>
              <w:t>公司建立的质量/环境/职业健康安全管理体系基本符合</w:t>
            </w:r>
            <w:r>
              <w:rPr>
                <w:rFonts w:cs="宋体" w:asciiTheme="minorEastAsia" w:hAnsiTheme="minorEastAsia" w:eastAsiaTheme="minorEastAsia"/>
                <w:szCs w:val="21"/>
              </w:rPr>
              <w:t>GB/T19001-2016\GB/T24001-2016\</w:t>
            </w:r>
            <w:r>
              <w:rPr>
                <w:rFonts w:hint="eastAsia" w:cs="宋体" w:asciiTheme="minorEastAsia" w:hAnsiTheme="minorEastAsia" w:eastAsiaTheme="minorEastAsia"/>
                <w:szCs w:val="21"/>
                <w:lang w:val="en-US" w:eastAsia="zh-CN"/>
              </w:rPr>
              <w:t>GB/T</w:t>
            </w:r>
            <w:r>
              <w:rPr>
                <w:rFonts w:cs="宋体" w:asciiTheme="minorEastAsia" w:hAnsiTheme="minorEastAsia" w:eastAsiaTheme="minorEastAsia"/>
                <w:szCs w:val="21"/>
              </w:rPr>
              <w:t>45001-20</w:t>
            </w:r>
            <w:r>
              <w:rPr>
                <w:rFonts w:hint="eastAsia" w:cs="宋体" w:asciiTheme="minorEastAsia" w:hAnsiTheme="minorEastAsia" w:eastAsiaTheme="minorEastAsia"/>
                <w:szCs w:val="21"/>
                <w:lang w:val="en-US" w:eastAsia="zh-CN"/>
              </w:rPr>
              <w:t>20</w:t>
            </w:r>
            <w:r>
              <w:rPr>
                <w:rFonts w:hint="eastAsia"/>
                <w:szCs w:val="21"/>
              </w:rPr>
              <w:t>标准要求。管理体系的运行是适宜的、充分的、有效的。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17"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ind w:firstLine="420" w:firstLineChars="200"/>
              <w:rPr>
                <w:rFonts w:hint="eastAsia" w:cs="Times New Roman" w:asciiTheme="minorEastAsia" w:hAnsiTheme="minorEastAsia" w:eastAsiaTheme="minorEastAsia"/>
              </w:rPr>
            </w:pPr>
            <w:r>
              <w:rPr>
                <w:rFonts w:hint="eastAsia" w:cs="Times New Roman" w:asciiTheme="minorEastAsia" w:hAnsiTheme="minorEastAsia" w:eastAsiaTheme="minorEastAsia"/>
              </w:rPr>
              <w:t>公司依据：GB/T19001-2016\GB/T24001-2016\</w:t>
            </w:r>
            <w:r>
              <w:rPr>
                <w:rFonts w:hint="eastAsia" w:cs="宋体" w:asciiTheme="minorEastAsia" w:hAnsiTheme="minorEastAsia" w:eastAsiaTheme="minorEastAsia"/>
                <w:szCs w:val="21"/>
                <w:lang w:val="en-US" w:eastAsia="zh-CN"/>
              </w:rPr>
              <w:t>GB/T</w:t>
            </w:r>
            <w:r>
              <w:rPr>
                <w:rFonts w:cs="宋体" w:asciiTheme="minorEastAsia" w:hAnsiTheme="minorEastAsia" w:eastAsiaTheme="minorEastAsia"/>
                <w:szCs w:val="21"/>
              </w:rPr>
              <w:t>45001-20</w:t>
            </w:r>
            <w:r>
              <w:rPr>
                <w:rFonts w:hint="eastAsia" w:cs="宋体" w:asciiTheme="minorEastAsia" w:hAnsiTheme="minorEastAsia" w:eastAsiaTheme="minorEastAsia"/>
                <w:szCs w:val="21"/>
                <w:lang w:val="en-US" w:eastAsia="zh-CN"/>
              </w:rPr>
              <w:t>20</w:t>
            </w:r>
            <w:r>
              <w:rPr>
                <w:rFonts w:hint="eastAsia" w:cs="Times New Roman" w:asciiTheme="minorEastAsia" w:hAnsiTheme="minorEastAsia" w:eastAsiaTheme="minorEastAsia"/>
              </w:rPr>
              <w:t>标准进行管理评审。</w:t>
            </w:r>
          </w:p>
          <w:p>
            <w:pPr>
              <w:rPr>
                <w:rFonts w:hint="eastAsia" w:cs="Times New Roman" w:asciiTheme="minorEastAsia" w:hAnsiTheme="minorEastAsia" w:eastAsiaTheme="minorEastAsia"/>
              </w:rPr>
            </w:pPr>
            <w:r>
              <w:rPr>
                <w:rFonts w:hint="eastAsia" w:cs="Times New Roman" w:asciiTheme="minorEastAsia" w:hAnsiTheme="minorEastAsia" w:eastAsiaTheme="minorEastAsia"/>
              </w:rPr>
              <w:t>目前按标准要求平稳运行，至今暂无变更情况发生。</w:t>
            </w:r>
          </w:p>
          <w:p>
            <w:pPr>
              <w:rPr>
                <w:rFonts w:hint="eastAsia" w:cs="Times New Roman" w:asciiTheme="minorEastAsia" w:hAnsiTheme="minorEastAsia" w:eastAsiaTheme="minorEastAsia"/>
              </w:rPr>
            </w:pPr>
            <w:r>
              <w:rPr>
                <w:rFonts w:hint="eastAsia" w:cs="Times New Roman" w:asciiTheme="minorEastAsia" w:hAnsiTheme="minorEastAsia" w:eastAsiaTheme="minorEastAsia"/>
              </w:rPr>
              <w:t>查阅公司管理评审资料：</w:t>
            </w:r>
          </w:p>
          <w:p>
            <w:pPr>
              <w:rPr>
                <w:rFonts w:hint="eastAsia" w:cs="Times New Roman" w:asciiTheme="minorEastAsia" w:hAnsiTheme="minorEastAsia" w:eastAsiaTheme="minorEastAsia"/>
              </w:rPr>
            </w:pPr>
            <w:r>
              <w:rPr>
                <w:rFonts w:hint="eastAsia" w:cs="Times New Roman" w:asciiTheme="minorEastAsia" w:hAnsiTheme="minorEastAsia" w:eastAsiaTheme="minorEastAsia"/>
              </w:rPr>
              <w:t>一、管理评审时间：20</w:t>
            </w:r>
            <w:r>
              <w:rPr>
                <w:rFonts w:hint="eastAsia" w:cs="Times New Roman" w:asciiTheme="minorEastAsia" w:hAnsiTheme="minorEastAsia" w:eastAsiaTheme="minorEastAsia"/>
                <w:lang w:val="en-US" w:eastAsia="zh-CN"/>
              </w:rPr>
              <w:t>20</w:t>
            </w:r>
            <w:r>
              <w:rPr>
                <w:rFonts w:hint="eastAsia" w:cs="Times New Roman" w:asciiTheme="minorEastAsia" w:hAnsiTheme="minorEastAsia" w:eastAsiaTheme="minorEastAsia"/>
              </w:rPr>
              <w:t>年</w:t>
            </w:r>
            <w:r>
              <w:rPr>
                <w:rFonts w:hint="eastAsia" w:cs="Times New Roman" w:asciiTheme="minorEastAsia" w:hAnsiTheme="minorEastAsia" w:eastAsiaTheme="minorEastAsia"/>
                <w:lang w:val="en-US" w:eastAsia="zh-CN"/>
              </w:rPr>
              <w:t>10</w:t>
            </w:r>
            <w:r>
              <w:rPr>
                <w:rFonts w:hint="eastAsia" w:cs="Times New Roman" w:asciiTheme="minorEastAsia" w:hAnsiTheme="minorEastAsia" w:eastAsiaTheme="minorEastAsia"/>
              </w:rPr>
              <w:t>月</w:t>
            </w:r>
            <w:r>
              <w:rPr>
                <w:rFonts w:hint="eastAsia" w:cs="Times New Roman" w:asciiTheme="minorEastAsia" w:hAnsiTheme="minorEastAsia" w:eastAsiaTheme="minorEastAsia"/>
                <w:lang w:val="en-US" w:eastAsia="zh-CN"/>
              </w:rPr>
              <w:t>9</w:t>
            </w:r>
            <w:r>
              <w:rPr>
                <w:rFonts w:hint="eastAsia" w:cs="Times New Roman" w:asciiTheme="minorEastAsia" w:hAnsiTheme="minorEastAsia" w:eastAsiaTheme="minorEastAsia"/>
              </w:rPr>
              <w:t>日,评审方式：会议评审</w:t>
            </w:r>
          </w:p>
          <w:p>
            <w:pPr>
              <w:rPr>
                <w:rFonts w:hint="eastAsia" w:cs="Times New Roman" w:asciiTheme="minorEastAsia" w:hAnsiTheme="minorEastAsia" w:eastAsiaTheme="minorEastAsia"/>
              </w:rPr>
            </w:pPr>
            <w:r>
              <w:rPr>
                <w:rFonts w:hint="eastAsia" w:cs="Times New Roman" w:asciiTheme="minorEastAsia" w:hAnsiTheme="minorEastAsia" w:eastAsiaTheme="minorEastAsia"/>
              </w:rPr>
              <w:t>参加人员：总经理、管理者代表、各部门负责人。</w:t>
            </w:r>
          </w:p>
          <w:p>
            <w:pPr>
              <w:rPr>
                <w:rFonts w:hint="eastAsia" w:cs="Times New Roman" w:asciiTheme="minorEastAsia" w:hAnsiTheme="minorEastAsia" w:eastAsiaTheme="minorEastAsia"/>
              </w:rPr>
            </w:pPr>
            <w:r>
              <w:rPr>
                <w:rFonts w:hint="eastAsia" w:cs="Times New Roman" w:asciiTheme="minorEastAsia" w:hAnsiTheme="minorEastAsia" w:eastAsiaTheme="minorEastAsia"/>
              </w:rPr>
              <w:t>二、管理评审输入：</w:t>
            </w:r>
          </w:p>
          <w:p>
            <w:pPr>
              <w:rPr>
                <w:rFonts w:hint="eastAsia" w:cs="Times New Roman" w:asciiTheme="minorEastAsia" w:hAnsiTheme="minorEastAsia" w:eastAsiaTheme="minorEastAsia"/>
              </w:rPr>
            </w:pPr>
            <w:r>
              <w:rPr>
                <w:rFonts w:hint="eastAsia" w:cs="Times New Roman" w:asciiTheme="minorEastAsia" w:hAnsiTheme="minorEastAsia" w:eastAsiaTheme="minorEastAsia"/>
              </w:rPr>
              <w:t>组织环境、相关方需求、风险和机遇、公司的管理方针、管理目标、指标的执行和完成情况；产品质量和顾客满意情况；</w:t>
            </w:r>
          </w:p>
          <w:p>
            <w:pPr>
              <w:rPr>
                <w:rFonts w:hint="eastAsia" w:cs="Times New Roman" w:asciiTheme="minorEastAsia" w:hAnsiTheme="minorEastAsia" w:eastAsiaTheme="minorEastAsia"/>
              </w:rPr>
            </w:pPr>
            <w:r>
              <w:rPr>
                <w:rFonts w:hint="eastAsia" w:cs="Times New Roman" w:asciiTheme="minorEastAsia" w:hAnsiTheme="minorEastAsia" w:eastAsiaTheme="minorEastAsia"/>
              </w:rPr>
              <w:t>资源的配备；纠正和预防措施情况；</w:t>
            </w:r>
          </w:p>
          <w:p>
            <w:pPr>
              <w:rPr>
                <w:rFonts w:hint="eastAsia" w:cs="Times New Roman" w:asciiTheme="minorEastAsia" w:hAnsiTheme="minorEastAsia" w:eastAsiaTheme="minorEastAsia"/>
              </w:rPr>
            </w:pPr>
            <w:r>
              <w:rPr>
                <w:rFonts w:hint="eastAsia" w:cs="Times New Roman" w:asciiTheme="minorEastAsia" w:hAnsiTheme="minorEastAsia" w:eastAsiaTheme="minorEastAsia"/>
              </w:rPr>
              <w:t>以上内容通过会上工作总结、汇报等形式体现。</w:t>
            </w:r>
          </w:p>
          <w:p>
            <w:pPr>
              <w:rPr>
                <w:rFonts w:hint="eastAsia" w:cs="Times New Roman" w:asciiTheme="minorEastAsia" w:hAnsiTheme="minorEastAsia" w:eastAsiaTheme="minorEastAsia"/>
              </w:rPr>
            </w:pPr>
            <w:r>
              <w:rPr>
                <w:rFonts w:hint="eastAsia" w:cs="Times New Roman" w:asciiTheme="minorEastAsia" w:hAnsiTheme="minorEastAsia" w:eastAsiaTheme="minorEastAsia"/>
              </w:rPr>
              <w:t>三、查看“管理评审报告”，报告中对本次管理评审做了总结，评价了公司建立、运行管理体系的效果。</w:t>
            </w:r>
          </w:p>
          <w:p>
            <w:pPr>
              <w:rPr>
                <w:rFonts w:hint="eastAsia" w:cs="Times New Roman" w:asciiTheme="minorEastAsia" w:hAnsiTheme="minorEastAsia" w:eastAsiaTheme="minorEastAsia"/>
              </w:rPr>
            </w:pPr>
            <w:r>
              <w:rPr>
                <w:rFonts w:hint="eastAsia" w:cs="Times New Roman" w:asciiTheme="minorEastAsia" w:hAnsiTheme="minorEastAsia" w:eastAsiaTheme="minorEastAsia"/>
              </w:rPr>
              <w:t>四、管理评审输出/评审结论：</w:t>
            </w:r>
          </w:p>
          <w:p>
            <w:pPr>
              <w:spacing w:line="240" w:lineRule="exact"/>
              <w:rPr>
                <w:b/>
                <w:color w:val="000000" w:themeColor="text1"/>
                <w:sz w:val="20"/>
                <w:szCs w:val="20"/>
              </w:rPr>
            </w:pPr>
            <w:r>
              <w:rPr>
                <w:rFonts w:hint="eastAsia" w:cs="Times New Roman" w:asciiTheme="minorEastAsia" w:hAnsiTheme="minorEastAsia" w:eastAsiaTheme="minorEastAsia"/>
              </w:rPr>
              <w:t>总体评价质量环境职业健康安全管理体系运行是有效的，资源提供是充分的，方针目标是适宜的。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720" w:type="dxa"/>
            <w:vMerge w:val="continue"/>
            <w:vAlign w:val="center"/>
          </w:tcPr>
          <w:p>
            <w:pPr>
              <w:spacing w:line="240" w:lineRule="exact"/>
              <w:jc w:val="center"/>
              <w:rPr>
                <w:b/>
                <w:color w:val="000000" w:themeColor="text1"/>
                <w:sz w:val="20"/>
              </w:rPr>
            </w:pPr>
          </w:p>
        </w:tc>
        <w:tc>
          <w:tcPr>
            <w:tcW w:w="9117" w:type="dxa"/>
          </w:tcPr>
          <w:p>
            <w:pPr>
              <w:numPr>
                <w:ilvl w:val="0"/>
                <w:numId w:val="5"/>
              </w:numPr>
              <w:spacing w:line="240" w:lineRule="exact"/>
              <w:rPr>
                <w:rFonts w:hint="eastAsia"/>
                <w:b/>
                <w:color w:val="000000" w:themeColor="text1"/>
                <w:sz w:val="20"/>
                <w:szCs w:val="20"/>
                <w:lang w:val="en-US" w:eastAsia="zh-CN"/>
              </w:rPr>
            </w:pPr>
            <w:r>
              <w:rPr>
                <w:rFonts w:hint="eastAsia"/>
                <w:b/>
                <w:color w:val="000000" w:themeColor="text1"/>
                <w:sz w:val="20"/>
                <w:szCs w:val="20"/>
              </w:rPr>
              <w:t xml:space="preserve"> EMS是否按规定对主要污染物（污水、废气、噪声、废渣等）及排放实施了例行的监视或测量，结果是否满足相关要求？</w:t>
            </w:r>
          </w:p>
          <w:p>
            <w:pPr>
              <w:numPr>
                <w:numId w:val="0"/>
              </w:numPr>
              <w:spacing w:line="240" w:lineRule="exact"/>
              <w:rPr>
                <w:rFonts w:hint="default" w:eastAsia="宋体"/>
                <w:b/>
                <w:color w:val="000000" w:themeColor="text1"/>
                <w:sz w:val="20"/>
                <w:szCs w:val="20"/>
                <w:lang w:val="en-US" w:eastAsia="zh-CN"/>
              </w:rPr>
            </w:pPr>
            <w:r>
              <w:rPr>
                <w:rFonts w:hint="eastAsia"/>
                <w:b/>
                <w:color w:val="000000" w:themeColor="text1"/>
                <w:sz w:val="20"/>
                <w:szCs w:val="20"/>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720" w:type="dxa"/>
            <w:vMerge w:val="continue"/>
            <w:vAlign w:val="center"/>
          </w:tcPr>
          <w:p>
            <w:pPr>
              <w:spacing w:line="240" w:lineRule="exact"/>
              <w:jc w:val="center"/>
              <w:rPr>
                <w:b/>
                <w:color w:val="000000" w:themeColor="text1"/>
                <w:sz w:val="20"/>
              </w:rPr>
            </w:pPr>
          </w:p>
        </w:tc>
        <w:tc>
          <w:tcPr>
            <w:tcW w:w="9117"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spacing w:line="240" w:lineRule="exact"/>
              <w:rPr>
                <w:b/>
                <w:color w:val="000000" w:themeColor="text1"/>
                <w:sz w:val="20"/>
                <w:szCs w:val="20"/>
              </w:rPr>
            </w:pPr>
            <w:r>
              <w:rPr>
                <w:rFonts w:hint="eastAsia"/>
                <w:b/>
                <w:color w:val="000000" w:themeColor="text1"/>
                <w:sz w:val="20"/>
                <w:szCs w:val="20"/>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1" w:hRule="atLeast"/>
          <w:jc w:val="center"/>
        </w:trPr>
        <w:tc>
          <w:tcPr>
            <w:tcW w:w="720" w:type="dxa"/>
            <w:vMerge w:val="continue"/>
            <w:vAlign w:val="center"/>
          </w:tcPr>
          <w:p>
            <w:pPr>
              <w:spacing w:line="240" w:lineRule="exact"/>
              <w:jc w:val="center"/>
              <w:rPr>
                <w:b/>
                <w:color w:val="000000" w:themeColor="text1"/>
                <w:sz w:val="20"/>
              </w:rPr>
            </w:pPr>
          </w:p>
        </w:tc>
        <w:tc>
          <w:tcPr>
            <w:tcW w:w="9117"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r>
              <w:rPr>
                <w:rFonts w:hint="eastAsia"/>
                <w:b/>
                <w:color w:val="000000" w:themeColor="text1"/>
                <w:sz w:val="20"/>
                <w:szCs w:val="20"/>
                <w:lang w:val="en-US" w:eastAsia="zh-CN"/>
              </w:rPr>
              <w:t>不涉及</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6" w:hRule="atLeast"/>
          <w:jc w:val="center"/>
        </w:trPr>
        <w:tc>
          <w:tcPr>
            <w:tcW w:w="720" w:type="dxa"/>
            <w:vMerge w:val="continue"/>
            <w:vAlign w:val="center"/>
          </w:tcPr>
          <w:p>
            <w:pPr>
              <w:spacing w:line="240" w:lineRule="exact"/>
              <w:jc w:val="center"/>
              <w:rPr>
                <w:b/>
                <w:color w:val="000000" w:themeColor="text1"/>
                <w:sz w:val="20"/>
              </w:rPr>
            </w:pPr>
          </w:p>
        </w:tc>
        <w:tc>
          <w:tcPr>
            <w:tcW w:w="9117"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000000" w:themeColor="text1"/>
                <w:sz w:val="20"/>
                <w:szCs w:val="20"/>
              </w:rPr>
            </w:pPr>
            <w:r>
              <w:rPr>
                <w:rFonts w:hint="eastAsia"/>
                <w:b/>
                <w:color w:val="000000" w:themeColor="text1"/>
                <w:sz w:val="20"/>
                <w:szCs w:val="20"/>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17" w:type="dxa"/>
            <w:tcBorders>
              <w:bottom w:val="single" w:color="auto" w:sz="4" w:space="0"/>
            </w:tcBorders>
          </w:tcPr>
          <w:p>
            <w:pPr>
              <w:widowControl/>
              <w:numPr>
                <w:ilvl w:val="0"/>
                <w:numId w:val="6"/>
              </w:numPr>
              <w:spacing w:line="240" w:lineRule="exact"/>
              <w:rPr>
                <w:rFonts w:hint="eastAsia"/>
                <w:b/>
                <w:color w:val="000000" w:themeColor="text1"/>
                <w:sz w:val="20"/>
                <w:szCs w:val="20"/>
              </w:rPr>
            </w:pPr>
            <w:r>
              <w:rPr>
                <w:rFonts w:hint="eastAsia"/>
                <w:b/>
                <w:color w:val="000000" w:themeColor="text1"/>
                <w:sz w:val="20"/>
                <w:szCs w:val="20"/>
              </w:rPr>
              <w:t>其他能够标明组织绩效、信誉的证据/信息：</w:t>
            </w:r>
          </w:p>
          <w:p>
            <w:pPr>
              <w:widowControl/>
              <w:numPr>
                <w:numId w:val="0"/>
              </w:numPr>
              <w:spacing w:line="240" w:lineRule="exact"/>
              <w:rPr>
                <w:rFonts w:hint="default" w:eastAsia="宋体"/>
                <w:b/>
                <w:color w:val="000000" w:themeColor="text1"/>
                <w:sz w:val="20"/>
                <w:szCs w:val="20"/>
                <w:lang w:val="en-US" w:eastAsia="zh-CN"/>
              </w:rPr>
            </w:pPr>
            <w:r>
              <w:rPr>
                <w:rFonts w:hint="eastAsia"/>
                <w:b/>
                <w:color w:val="000000" w:themeColor="text1"/>
                <w:sz w:val="20"/>
                <w:szCs w:val="20"/>
                <w:lang w:val="en-US" w:eastAsia="zh-CN"/>
              </w:rPr>
              <w:t xml:space="preserve">  公司发展较快，产值逐年提升。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17"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240" w:lineRule="exact"/>
              <w:rPr>
                <w:b/>
                <w:color w:val="000000" w:themeColor="text1"/>
                <w:sz w:val="20"/>
                <w:szCs w:val="20"/>
              </w:rPr>
            </w:pPr>
            <w:r>
              <w:rPr>
                <w:rFonts w:hint="eastAsia"/>
                <w:b/>
                <w:color w:val="000000" w:themeColor="text1"/>
                <w:sz w:val="20"/>
                <w:szCs w:val="20"/>
                <w:lang w:val="en-US" w:eastAsia="zh-CN"/>
              </w:rPr>
              <w:t>不符合项已整改，基本有效。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 w:hRule="atLeast"/>
          <w:jc w:val="center"/>
        </w:trPr>
        <w:tc>
          <w:tcPr>
            <w:tcW w:w="720" w:type="dxa"/>
            <w:vMerge w:val="continue"/>
            <w:vAlign w:val="center"/>
          </w:tcPr>
          <w:p>
            <w:pPr>
              <w:spacing w:line="240" w:lineRule="exact"/>
              <w:jc w:val="center"/>
              <w:rPr>
                <w:b/>
                <w:color w:val="000000" w:themeColor="text1"/>
                <w:sz w:val="20"/>
              </w:rPr>
            </w:pPr>
          </w:p>
        </w:tc>
        <w:tc>
          <w:tcPr>
            <w:tcW w:w="9117"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pacing w:val="-20"/>
                <w:sz w:val="20"/>
                <w:szCs w:val="20"/>
              </w:rPr>
            </w:pPr>
          </w:p>
          <w:p>
            <w:pPr>
              <w:spacing w:line="240" w:lineRule="exact"/>
              <w:rPr>
                <w:b/>
                <w:color w:val="000000" w:themeColor="text1"/>
                <w:sz w:val="20"/>
                <w:szCs w:val="20"/>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720" w:type="dxa"/>
            <w:vMerge w:val="continue"/>
            <w:vAlign w:val="center"/>
          </w:tcPr>
          <w:p>
            <w:pPr>
              <w:spacing w:line="240" w:lineRule="exact"/>
              <w:jc w:val="center"/>
              <w:rPr>
                <w:b/>
                <w:color w:val="000000" w:themeColor="text1"/>
                <w:sz w:val="20"/>
              </w:rPr>
            </w:pPr>
          </w:p>
        </w:tc>
        <w:tc>
          <w:tcPr>
            <w:tcW w:w="9117"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b/>
                <w:color w:val="000000" w:themeColor="text1"/>
                <w:spacing w:val="-20"/>
                <w:sz w:val="20"/>
                <w:szCs w:val="20"/>
              </w:rPr>
            </w:pPr>
            <w:r>
              <w:rPr>
                <w:rFonts w:hint="eastAsia"/>
                <w:b/>
                <w:color w:val="000000" w:themeColor="text1"/>
                <w:spacing w:val="-20"/>
                <w:sz w:val="20"/>
                <w:szCs w:val="20"/>
                <w:lang w:val="en-US" w:eastAsia="zh-CN"/>
              </w:rPr>
              <w:t>已整改。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jc w:val="center"/>
        </w:trPr>
        <w:tc>
          <w:tcPr>
            <w:tcW w:w="720" w:type="dxa"/>
            <w:vMerge w:val="continue"/>
            <w:vAlign w:val="center"/>
          </w:tcPr>
          <w:p>
            <w:pPr>
              <w:spacing w:line="240" w:lineRule="exact"/>
              <w:jc w:val="center"/>
              <w:rPr>
                <w:b/>
                <w:color w:val="000000" w:themeColor="text1"/>
                <w:sz w:val="20"/>
              </w:rPr>
            </w:pPr>
          </w:p>
        </w:tc>
        <w:tc>
          <w:tcPr>
            <w:tcW w:w="9117" w:type="dxa"/>
            <w:tcBorders>
              <w:top w:val="single" w:color="auto" w:sz="4" w:space="0"/>
              <w:left w:val="single" w:color="auto" w:sz="4" w:space="0"/>
              <w:bottom w:val="single" w:color="auto" w:sz="4" w:space="0"/>
              <w:right w:val="single" w:color="auto" w:sz="4" w:space="0"/>
            </w:tcBorders>
            <w:vAlign w:val="top"/>
          </w:tcPr>
          <w:p>
            <w:pPr>
              <w:numPr>
                <w:ilvl w:val="0"/>
                <w:numId w:val="7"/>
              </w:numPr>
              <w:spacing w:line="240" w:lineRule="exact"/>
              <w:rPr>
                <w:rFonts w:hint="eastAsia"/>
                <w:b/>
                <w:color w:val="000000" w:themeColor="text1"/>
                <w:sz w:val="20"/>
                <w:szCs w:val="20"/>
              </w:rPr>
            </w:pPr>
            <w:r>
              <w:rPr>
                <w:rFonts w:hint="eastAsia"/>
                <w:b/>
                <w:color w:val="000000" w:themeColor="text1"/>
                <w:sz w:val="20"/>
                <w:szCs w:val="20"/>
              </w:rPr>
              <w:t>创新情况</w:t>
            </w:r>
          </w:p>
          <w:p>
            <w:pPr>
              <w:numPr>
                <w:ilvl w:val="0"/>
                <w:numId w:val="0"/>
              </w:numPr>
              <w:spacing w:line="240" w:lineRule="exact"/>
              <w:ind w:left="0" w:leftChars="0" w:firstLine="0" w:firstLineChars="0"/>
              <w:rPr>
                <w:b/>
                <w:color w:val="000000" w:themeColor="text1"/>
                <w:sz w:val="20"/>
                <w:szCs w:val="20"/>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themeColor="text1"/>
                <w:sz w:val="20"/>
              </w:rPr>
            </w:pPr>
          </w:p>
        </w:tc>
        <w:tc>
          <w:tcPr>
            <w:tcW w:w="9117"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Cs w:val="21"/>
              </w:rPr>
            </w:pPr>
            <w:r>
              <w:rPr>
                <w:rFonts w:hint="eastAsia"/>
                <w:b/>
                <w:color w:val="000000" w:themeColor="text1"/>
                <w:szCs w:val="21"/>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1</w:t>
      </w:r>
      <w:r>
        <w:rPr>
          <w:rFonts w:hint="eastAsia"/>
          <w:b/>
          <w:color w:val="000000" w:themeColor="text1"/>
        </w:rPr>
        <w:t>项；其中</w:t>
      </w:r>
      <w:r>
        <w:rPr>
          <w:b/>
          <w:color w:val="000000" w:themeColor="text1"/>
        </w:rPr>
        <w:pict>
          <v:line id="直接连接符 1" o:spid="_x0000_s1027"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0</w:t>
      </w:r>
      <w:r>
        <w:rPr>
          <w:rFonts w:hint="eastAsia"/>
          <w:b/>
          <w:color w:val="000000" w:themeColor="text1"/>
        </w:rPr>
        <w:t>项，一般不符合</w:t>
      </w:r>
      <w:r>
        <w:rPr>
          <w:rFonts w:hint="eastAsia"/>
          <w:b/>
          <w:color w:val="000000" w:themeColor="text1"/>
          <w:lang w:val="en-US" w:eastAsia="zh-CN"/>
        </w:rPr>
        <w:t>1</w:t>
      </w:r>
      <w:r>
        <w:rPr>
          <w:rFonts w:hint="eastAsia"/>
          <w:b/>
          <w:color w:val="000000" w:themeColor="text1"/>
        </w:rPr>
        <w:t>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7"/>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sym w:font="Wingdings 2" w:char="0052"/>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6"/>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0"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sym w:font="Wingdings 2" w:char="0052"/>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2"/>
                <w:szCs w:val="22"/>
              </w:rPr>
            </w:pP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rPr>
              <w:sym w:font="Wingdings 2" w:char="0052"/>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sym w:font="Wingdings 2" w:char="0052"/>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5"/>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eastAsia="宋体"/>
          <w:b/>
          <w:color w:val="000000" w:themeColor="text1"/>
          <w:sz w:val="26"/>
          <w:szCs w:val="26"/>
          <w:lang w:eastAsia="zh-CN"/>
        </w:rPr>
        <w:drawing>
          <wp:anchor distT="0" distB="0" distL="114300" distR="114300" simplePos="0" relativeHeight="251661312" behindDoc="1" locked="0" layoutInCell="1" allowOverlap="1">
            <wp:simplePos x="0" y="0"/>
            <wp:positionH relativeFrom="column">
              <wp:posOffset>1546860</wp:posOffset>
            </wp:positionH>
            <wp:positionV relativeFrom="paragraph">
              <wp:posOffset>221615</wp:posOffset>
            </wp:positionV>
            <wp:extent cx="765175" cy="553085"/>
            <wp:effectExtent l="0" t="0" r="12065" b="10795"/>
            <wp:wrapNone/>
            <wp:docPr id="3" name="图片 3" descr="林兵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林兵签名"/>
                    <pic:cNvPicPr>
                      <a:picLocks noChangeAspect="1"/>
                    </pic:cNvPicPr>
                  </pic:nvPicPr>
                  <pic:blipFill>
                    <a:blip r:embed="rId6"/>
                    <a:stretch>
                      <a:fillRect/>
                    </a:stretch>
                  </pic:blipFill>
                  <pic:spPr>
                    <a:xfrm>
                      <a:off x="0" y="0"/>
                      <a:ext cx="765175" cy="553085"/>
                    </a:xfrm>
                    <a:prstGeom prst="rect">
                      <a:avLst/>
                    </a:prstGeom>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rFonts w:hint="eastAsia" w:eastAsia="宋体"/>
          <w:b/>
          <w:color w:val="000000" w:themeColor="text1"/>
          <w:sz w:val="26"/>
          <w:szCs w:val="26"/>
          <w:lang w:eastAsia="zh-CN"/>
        </w:rPr>
      </w:pPr>
      <w:r>
        <w:rPr>
          <w:rFonts w:hint="eastAsia"/>
          <w:b/>
          <w:color w:val="000000" w:themeColor="text1"/>
          <w:sz w:val="26"/>
          <w:szCs w:val="26"/>
        </w:rPr>
        <w:t>审核组组长（签名）：</w:t>
      </w:r>
    </w:p>
    <w:p>
      <w:pPr>
        <w:snapToGrid w:val="0"/>
        <w:spacing w:before="156" w:beforeLines="50" w:line="360" w:lineRule="auto"/>
        <w:ind w:firstLine="653" w:firstLineChars="250"/>
        <w:rPr>
          <w:b/>
          <w:color w:val="000000" w:themeColor="text1"/>
        </w:rPr>
      </w:pPr>
      <w:r>
        <w:rPr>
          <w:rFonts w:hint="default" w:eastAsia="宋体"/>
          <w:b/>
          <w:color w:val="000000" w:themeColor="text1"/>
          <w:sz w:val="26"/>
          <w:szCs w:val="26"/>
          <w:lang w:val="en-US" w:eastAsia="zh-CN"/>
        </w:rPr>
        <w:drawing>
          <wp:anchor distT="0" distB="0" distL="114300" distR="114300" simplePos="0" relativeHeight="251663360" behindDoc="1" locked="0" layoutInCell="1" allowOverlap="1">
            <wp:simplePos x="0" y="0"/>
            <wp:positionH relativeFrom="column">
              <wp:posOffset>2197100</wp:posOffset>
            </wp:positionH>
            <wp:positionV relativeFrom="paragraph">
              <wp:posOffset>168910</wp:posOffset>
            </wp:positionV>
            <wp:extent cx="843915" cy="426720"/>
            <wp:effectExtent l="0" t="0" r="9525" b="0"/>
            <wp:wrapNone/>
            <wp:docPr id="5" name="图片 5" descr="任泽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任泽华"/>
                    <pic:cNvPicPr>
                      <a:picLocks noChangeAspect="1"/>
                    </pic:cNvPicPr>
                  </pic:nvPicPr>
                  <pic:blipFill>
                    <a:blip r:embed="rId7"/>
                    <a:stretch>
                      <a:fillRect/>
                    </a:stretch>
                  </pic:blipFill>
                  <pic:spPr>
                    <a:xfrm>
                      <a:off x="0" y="0"/>
                      <a:ext cx="843915" cy="426720"/>
                    </a:xfrm>
                    <a:prstGeom prst="rect">
                      <a:avLst/>
                    </a:prstGeom>
                  </pic:spPr>
                </pic:pic>
              </a:graphicData>
            </a:graphic>
          </wp:anchor>
        </w:drawing>
      </w:r>
      <w:r>
        <w:rPr>
          <w:rFonts w:hint="eastAsia" w:eastAsia="宋体"/>
          <w:b/>
          <w:color w:val="000000" w:themeColor="text1"/>
          <w:sz w:val="26"/>
          <w:szCs w:val="26"/>
          <w:lang w:eastAsia="zh-CN"/>
        </w:rPr>
        <w:drawing>
          <wp:anchor distT="0" distB="0" distL="114300" distR="114300" simplePos="0" relativeHeight="251662336" behindDoc="1" locked="0" layoutInCell="1" allowOverlap="1">
            <wp:simplePos x="0" y="0"/>
            <wp:positionH relativeFrom="column">
              <wp:posOffset>1447800</wp:posOffset>
            </wp:positionH>
            <wp:positionV relativeFrom="paragraph">
              <wp:posOffset>130810</wp:posOffset>
            </wp:positionV>
            <wp:extent cx="822960" cy="407035"/>
            <wp:effectExtent l="0" t="0" r="0" b="4445"/>
            <wp:wrapNone/>
            <wp:docPr id="4" name="图片 4" descr="2e3c5ce310dd7f7edcbfa932cc5ea3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e3c5ce310dd7f7edcbfa932cc5ea3b"/>
                    <pic:cNvPicPr>
                      <a:picLocks noChangeAspect="1"/>
                    </pic:cNvPicPr>
                  </pic:nvPicPr>
                  <pic:blipFill>
                    <a:blip r:embed="rId8"/>
                    <a:stretch>
                      <a:fillRect/>
                    </a:stretch>
                  </pic:blipFill>
                  <pic:spPr>
                    <a:xfrm>
                      <a:off x="0" y="0"/>
                      <a:ext cx="822960" cy="407035"/>
                    </a:xfrm>
                    <a:prstGeom prst="rect">
                      <a:avLst/>
                    </a:prstGeom>
                  </pic:spPr>
                </pic:pic>
              </a:graphicData>
            </a:graphic>
          </wp:anchor>
        </w:drawing>
      </w:r>
    </w:p>
    <w:p>
      <w:pPr>
        <w:snapToGrid w:val="0"/>
        <w:spacing w:after="156" w:afterLines="50" w:line="360" w:lineRule="auto"/>
        <w:ind w:left="1" w:leftChars="-32" w:hanging="68" w:hangingChars="26"/>
        <w:rPr>
          <w:rFonts w:hint="default" w:eastAsia="宋体"/>
          <w:b/>
          <w:color w:val="000000" w:themeColor="text1"/>
          <w:sz w:val="26"/>
          <w:szCs w:val="26"/>
          <w:lang w:val="en-US" w:eastAsia="zh-CN"/>
        </w:rPr>
      </w:pPr>
      <w:r>
        <w:rPr>
          <w:rFonts w:hint="eastAsia"/>
          <w:b/>
          <w:color w:val="000000" w:themeColor="text1"/>
          <w:sz w:val="26"/>
          <w:szCs w:val="26"/>
        </w:rPr>
        <w:t>审核组组员（签名）：</w:t>
      </w:r>
      <w:r>
        <w:rPr>
          <w:rFonts w:hint="eastAsia"/>
          <w:b/>
          <w:color w:val="000000" w:themeColor="text1"/>
          <w:sz w:val="26"/>
          <w:szCs w:val="26"/>
          <w:lang w:val="en-US" w:eastAsia="zh-CN"/>
        </w:rPr>
        <w:t xml:space="preserve">                </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2020-11-28</w:t>
      </w:r>
      <w:r>
        <w:rPr>
          <w:rFonts w:hint="eastAsia" w:asciiTheme="minorEastAsia" w:hAnsiTheme="minorEastAsia" w:eastAsiaTheme="minorEastAsia"/>
          <w:b/>
          <w:color w:val="000000" w:themeColor="text1"/>
        </w:rPr>
        <w:t>年   月   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zCs w:val="21"/>
          <w:lang w:val="en-US" w:eastAsia="zh-CN"/>
        </w:rPr>
        <w:t>1</w:t>
      </w:r>
      <w:r>
        <w:rPr>
          <w:rFonts w:hint="eastAsia"/>
          <w:b/>
          <w:color w:val="000000" w:themeColor="text1"/>
          <w:szCs w:val="21"/>
        </w:rPr>
        <w:t xml:space="preserve"> )个一般不符合，( </w:t>
      </w:r>
      <w:r>
        <w:rPr>
          <w:rFonts w:hint="eastAsia"/>
          <w:b/>
          <w:color w:val="000000" w:themeColor="text1"/>
          <w:szCs w:val="21"/>
          <w:lang w:val="en-US" w:eastAsia="zh-CN"/>
        </w:rPr>
        <w:t>0</w:t>
      </w:r>
      <w:r>
        <w:rPr>
          <w:rFonts w:hint="eastAsia"/>
          <w:b/>
          <w:color w:val="000000" w:themeColor="text1"/>
          <w:szCs w:val="21"/>
        </w:rPr>
        <w:t xml:space="preserve">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sym w:font="Wingdings 2" w:char="0052"/>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eastAsia="宋体"/>
          <w:b/>
          <w:color w:val="000000" w:themeColor="text1"/>
          <w:sz w:val="26"/>
          <w:szCs w:val="26"/>
          <w:lang w:eastAsia="zh-CN"/>
        </w:rPr>
        <w:drawing>
          <wp:anchor distT="0" distB="0" distL="114300" distR="114300" simplePos="0" relativeHeight="251667456" behindDoc="1" locked="0" layoutInCell="1" allowOverlap="1">
            <wp:simplePos x="0" y="0"/>
            <wp:positionH relativeFrom="column">
              <wp:posOffset>708660</wp:posOffset>
            </wp:positionH>
            <wp:positionV relativeFrom="paragraph">
              <wp:posOffset>48260</wp:posOffset>
            </wp:positionV>
            <wp:extent cx="765175" cy="553085"/>
            <wp:effectExtent l="0" t="0" r="12065" b="10795"/>
            <wp:wrapNone/>
            <wp:docPr id="6" name="图片 6" descr="林兵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林兵签名"/>
                    <pic:cNvPicPr>
                      <a:picLocks noChangeAspect="1"/>
                    </pic:cNvPicPr>
                  </pic:nvPicPr>
                  <pic:blipFill>
                    <a:blip r:embed="rId6"/>
                    <a:stretch>
                      <a:fillRect/>
                    </a:stretch>
                  </pic:blipFill>
                  <pic:spPr>
                    <a:xfrm>
                      <a:off x="0" y="0"/>
                      <a:ext cx="765175" cy="553085"/>
                    </a:xfrm>
                    <a:prstGeom prst="rect">
                      <a:avLst/>
                    </a:prstGeom>
                  </pic:spPr>
                </pic:pic>
              </a:graphicData>
            </a:graphic>
          </wp:anchor>
        </w:drawing>
      </w:r>
      <w:r>
        <w:rPr>
          <w:rFonts w:hint="eastAsia"/>
          <w:b/>
          <w:color w:val="000000" w:themeColor="text1"/>
          <w:szCs w:val="21"/>
        </w:rPr>
        <w:t>组长签字:                               日期:       年</w:t>
      </w:r>
      <w:r>
        <w:rPr>
          <w:rFonts w:hint="eastAsia"/>
          <w:b/>
          <w:color w:val="000000" w:themeColor="text1"/>
          <w:szCs w:val="21"/>
          <w:lang w:val="en-US" w:eastAsia="zh-CN"/>
        </w:rPr>
        <w:t xml:space="preserve">  </w:t>
      </w:r>
      <w:r>
        <w:rPr>
          <w:rFonts w:hint="eastAsia"/>
          <w:b/>
          <w:color w:val="000000" w:themeColor="text1"/>
          <w:szCs w:val="21"/>
        </w:rPr>
        <w:t>月</w:t>
      </w:r>
      <w:r>
        <w:rPr>
          <w:rFonts w:hint="eastAsia"/>
          <w:b/>
          <w:color w:val="000000" w:themeColor="text1"/>
          <w:szCs w:val="21"/>
          <w:lang w:val="en-US" w:eastAsia="zh-CN"/>
        </w:rPr>
        <w:t xml:space="preserve">   </w:t>
      </w:r>
      <w:r>
        <w:rPr>
          <w:rFonts w:hint="eastAsia"/>
          <w:b/>
          <w:color w:val="000000" w:themeColor="text1"/>
          <w:szCs w:val="21"/>
        </w:rPr>
        <w:t>日</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8"/>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numPr>
          <w:ilvl w:val="0"/>
          <w:numId w:val="8"/>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rFonts w:ascii="宋体" w:hAnsi="宋体"/>
          <w:b/>
          <w:color w:val="000000" w:themeColor="text1"/>
          <w:sz w:val="26"/>
          <w:szCs w:val="26"/>
        </w:rPr>
      </w:pPr>
      <w:r>
        <w:rPr>
          <w:rFonts w:hint="eastAsia"/>
          <w:b/>
          <w:bCs/>
          <w:color w:val="000000" w:themeColor="text1"/>
          <w:szCs w:val="21"/>
        </w:rPr>
        <w:t xml:space="preserve">5. 对子证书/证书附件要求的组织，除在末次会议上确定注册范围外，还须附上子证书/证书附件的文字表达。(可另附页)  </w:t>
      </w:r>
      <w:bookmarkStart w:id="22" w:name="_GoBack"/>
      <w:bookmarkEnd w:id="22"/>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bookmarkStart w:id="21" w:name="_Hlk8555230"/>
    <w:r>
      <w:pict>
        <v:shape id="_x0000_s2049" o:spid="_x0000_s2049"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bookmarkEnd w:id="21"/>
  </w:p>
  <w:p>
    <w:pPr>
      <w:pStyle w:val="4"/>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4A031F3"/>
    <w:multiLevelType w:val="singleLevel"/>
    <w:tmpl w:val="94A031F3"/>
    <w:lvl w:ilvl="0" w:tentative="0">
      <w:start w:val="4"/>
      <w:numFmt w:val="decimal"/>
      <w:lvlText w:val="%1."/>
      <w:lvlJc w:val="left"/>
      <w:pPr>
        <w:tabs>
          <w:tab w:val="left" w:pos="312"/>
        </w:tabs>
      </w:pPr>
    </w:lvl>
  </w:abstractNum>
  <w:abstractNum w:abstractNumId="1">
    <w:nsid w:val="F965273C"/>
    <w:multiLevelType w:val="singleLevel"/>
    <w:tmpl w:val="F965273C"/>
    <w:lvl w:ilvl="0" w:tentative="0">
      <w:start w:val="9"/>
      <w:numFmt w:val="decimal"/>
      <w:suff w:val="space"/>
      <w:lvlText w:val="%1."/>
      <w:lvlJc w:val="left"/>
    </w:lvl>
  </w:abstractNum>
  <w:abstractNum w:abstractNumId="2">
    <w:nsid w:val="134C0A8D"/>
    <w:multiLevelType w:val="singleLevel"/>
    <w:tmpl w:val="134C0A8D"/>
    <w:lvl w:ilvl="0" w:tentative="0">
      <w:start w:val="2"/>
      <w:numFmt w:val="decimal"/>
      <w:suff w:val="space"/>
      <w:lvlText w:val="%1."/>
      <w:lvlJc w:val="left"/>
    </w:lvl>
  </w:abstractNum>
  <w:abstractNum w:abstractNumId="3">
    <w:nsid w:val="1786F1D4"/>
    <w:multiLevelType w:val="singleLevel"/>
    <w:tmpl w:val="1786F1D4"/>
    <w:lvl w:ilvl="0" w:tentative="0">
      <w:start w:val="2"/>
      <w:numFmt w:val="decimal"/>
      <w:suff w:val="nothing"/>
      <w:lvlText w:val="%1、"/>
      <w:lvlJc w:val="left"/>
    </w:lvl>
  </w:abstractNum>
  <w:abstractNum w:abstractNumId="4">
    <w:nsid w:val="43E8F7D6"/>
    <w:multiLevelType w:val="singleLevel"/>
    <w:tmpl w:val="43E8F7D6"/>
    <w:lvl w:ilvl="0" w:tentative="0">
      <w:start w:val="5"/>
      <w:numFmt w:val="decimal"/>
      <w:suff w:val="space"/>
      <w:lvlText w:val="%1."/>
      <w:lvlJc w:val="left"/>
    </w:lvl>
  </w:abstractNum>
  <w:abstractNum w:abstractNumId="5">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5"/>
  </w:num>
  <w:num w:numId="2">
    <w:abstractNumId w:val="3"/>
  </w:num>
  <w:num w:numId="3">
    <w:abstractNumId w:val="6"/>
  </w:num>
  <w:num w:numId="4">
    <w:abstractNumId w:val="2"/>
  </w:num>
  <w:num w:numId="5">
    <w:abstractNumId w:val="4"/>
  </w:num>
  <w:num w:numId="6">
    <w:abstractNumId w:val="1"/>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45F4162"/>
    <w:rsid w:val="16C67CAA"/>
    <w:rsid w:val="1D2E2ECB"/>
    <w:rsid w:val="2A386B28"/>
    <w:rsid w:val="2C176151"/>
    <w:rsid w:val="3A4E41BE"/>
    <w:rsid w:val="4E4E019B"/>
    <w:rsid w:val="561F1442"/>
    <w:rsid w:val="59265308"/>
    <w:rsid w:val="601C443A"/>
    <w:rsid w:val="6A0A4899"/>
    <w:rsid w:val="6CE06E01"/>
    <w:rsid w:val="6DFB17E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25"/>
        <o:r id="V:Rule2" type="connector" idref="#_x0000_s102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7">
    <w:name w:val="Table Grid"/>
    <w:basedOn w:val="6"/>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semiHidden/>
    <w:unhideWhenUsed/>
    <w:qFormat/>
    <w:uiPriority w:val="99"/>
    <w:rPr>
      <w:color w:val="0000FF"/>
      <w:u w:val="single"/>
    </w:rPr>
  </w:style>
  <w:style w:type="paragraph" w:styleId="10">
    <w:name w:val="List Paragraph"/>
    <w:basedOn w:val="1"/>
    <w:qFormat/>
    <w:uiPriority w:val="34"/>
    <w:pPr>
      <w:ind w:firstLine="420" w:firstLineChars="200"/>
    </w:pPr>
  </w:style>
  <w:style w:type="character" w:customStyle="1" w:styleId="11">
    <w:name w:val="页眉 Char1"/>
    <w:basedOn w:val="8"/>
    <w:link w:val="4"/>
    <w:uiPriority w:val="99"/>
    <w:rPr>
      <w:rFonts w:ascii="Times New Roman" w:hAnsi="Times New Roman" w:eastAsia="宋体" w:cs="Times New Roman"/>
      <w:sz w:val="18"/>
      <w:szCs w:val="18"/>
    </w:rPr>
  </w:style>
  <w:style w:type="character" w:customStyle="1" w:styleId="12">
    <w:name w:val="页脚 Char"/>
    <w:basedOn w:val="8"/>
    <w:link w:val="3"/>
    <w:uiPriority w:val="99"/>
    <w:rPr>
      <w:rFonts w:ascii="Times New Roman" w:hAnsi="Times New Roman" w:eastAsia="宋体" w:cs="Times New Roman"/>
      <w:sz w:val="18"/>
      <w:szCs w:val="18"/>
    </w:rPr>
  </w:style>
  <w:style w:type="character" w:customStyle="1" w:styleId="13">
    <w:name w:val="批注框文本 Char"/>
    <w:basedOn w:val="8"/>
    <w:link w:val="2"/>
    <w:semiHidden/>
    <w:qFormat/>
    <w:uiPriority w:val="99"/>
    <w:rPr>
      <w:rFonts w:ascii="Times New Roman" w:hAnsi="Times New Roman" w:eastAsia="宋体" w:cs="Times New Roman"/>
      <w:sz w:val="18"/>
      <w:szCs w:val="18"/>
    </w:rPr>
  </w:style>
  <w:style w:type="character" w:customStyle="1" w:styleId="14">
    <w:name w:val="页眉 Char"/>
    <w:uiPriority w:val="0"/>
    <w:rPr>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jpe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5"/>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2</TotalTime>
  <ScaleCrop>false</ScaleCrop>
  <LinksUpToDate>false</LinksUpToDate>
  <CharactersWithSpaces>5143</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森林</cp:lastModifiedBy>
  <cp:lastPrinted>2019-05-13T03:19:00Z</cp:lastPrinted>
  <dcterms:modified xsi:type="dcterms:W3CDTF">2020-11-27T02:17:20Z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