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default" w:ascii="楷体" w:hAnsi="楷体" w:eastAsia="楷体"/>
          <w:b/>
          <w:color w:val="000000"/>
          <w:sz w:val="32"/>
          <w:szCs w:val="32"/>
          <w:u w:val="single"/>
          <w:lang w:val="en-US"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lang w:val="en-US" w:eastAsia="zh-CN"/>
        </w:rPr>
        <w:t>河北从瑞环保科技有限公司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004"/>
        <w:gridCol w:w="1350"/>
        <w:gridCol w:w="2810"/>
        <w:gridCol w:w="364"/>
        <w:gridCol w:w="850"/>
        <w:gridCol w:w="126"/>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04" w:type="dxa"/>
            <w:vAlign w:val="center"/>
          </w:tcPr>
          <w:p>
            <w:pPr>
              <w:jc w:val="center"/>
              <w:rPr>
                <w:b/>
                <w:sz w:val="21"/>
                <w:szCs w:val="21"/>
              </w:rPr>
            </w:pPr>
            <w:r>
              <w:rPr>
                <w:rFonts w:hint="eastAsia"/>
                <w:b/>
                <w:sz w:val="21"/>
                <w:szCs w:val="21"/>
              </w:rPr>
              <w:t>职务</w:t>
            </w:r>
          </w:p>
        </w:tc>
        <w:tc>
          <w:tcPr>
            <w:tcW w:w="1350" w:type="dxa"/>
            <w:vAlign w:val="center"/>
          </w:tcPr>
          <w:p>
            <w:pPr>
              <w:jc w:val="center"/>
              <w:rPr>
                <w:b/>
                <w:sz w:val="21"/>
                <w:szCs w:val="21"/>
              </w:rPr>
            </w:pPr>
            <w:r>
              <w:rPr>
                <w:rFonts w:hint="eastAsia"/>
                <w:b/>
                <w:sz w:val="21"/>
                <w:szCs w:val="21"/>
              </w:rPr>
              <w:t>注册级别</w:t>
            </w:r>
          </w:p>
        </w:tc>
        <w:tc>
          <w:tcPr>
            <w:tcW w:w="2810" w:type="dxa"/>
            <w:vAlign w:val="center"/>
          </w:tcPr>
          <w:p>
            <w:pPr>
              <w:jc w:val="center"/>
              <w:rPr>
                <w:b/>
                <w:sz w:val="21"/>
                <w:szCs w:val="21"/>
              </w:rPr>
            </w:pPr>
            <w:r>
              <w:rPr>
                <w:rFonts w:hint="eastAsia"/>
                <w:b/>
                <w:sz w:val="21"/>
                <w:szCs w:val="21"/>
              </w:rPr>
              <w:t>审核员注册号</w:t>
            </w:r>
          </w:p>
        </w:tc>
        <w:tc>
          <w:tcPr>
            <w:tcW w:w="1340" w:type="dxa"/>
            <w:gridSpan w:val="3"/>
            <w:vAlign w:val="center"/>
          </w:tcPr>
          <w:p>
            <w:pPr>
              <w:jc w:val="center"/>
              <w:rPr>
                <w:b/>
                <w:sz w:val="21"/>
                <w:szCs w:val="21"/>
              </w:rPr>
            </w:pPr>
            <w:r>
              <w:rPr>
                <w:rFonts w:hint="eastAsia"/>
                <w:b/>
                <w:sz w:val="21"/>
                <w:szCs w:val="21"/>
              </w:rPr>
              <w:t>专业代码</w:t>
            </w:r>
          </w:p>
        </w:tc>
        <w:tc>
          <w:tcPr>
            <w:tcW w:w="1488"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李丽英</w:t>
            </w:r>
          </w:p>
        </w:tc>
        <w:tc>
          <w:tcPr>
            <w:tcW w:w="824" w:type="dxa"/>
            <w:gridSpan w:val="2"/>
            <w:vAlign w:val="center"/>
          </w:tcPr>
          <w:p>
            <w:pPr>
              <w:jc w:val="center"/>
              <w:rPr>
                <w:b/>
                <w:sz w:val="21"/>
                <w:szCs w:val="21"/>
              </w:rPr>
            </w:pPr>
            <w:r>
              <w:rPr>
                <w:b/>
                <w:sz w:val="21"/>
                <w:szCs w:val="21"/>
              </w:rPr>
              <w:t>女</w:t>
            </w:r>
          </w:p>
        </w:tc>
        <w:tc>
          <w:tcPr>
            <w:tcW w:w="1004" w:type="dxa"/>
            <w:vAlign w:val="center"/>
          </w:tcPr>
          <w:p>
            <w:pPr>
              <w:jc w:val="center"/>
              <w:rPr>
                <w:b/>
                <w:sz w:val="21"/>
                <w:szCs w:val="21"/>
              </w:rPr>
            </w:pPr>
            <w:r>
              <w:rPr>
                <w:b/>
                <w:sz w:val="21"/>
                <w:szCs w:val="21"/>
              </w:rPr>
              <w:t>组长</w:t>
            </w:r>
          </w:p>
        </w:tc>
        <w:tc>
          <w:tcPr>
            <w:tcW w:w="135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810" w:type="dxa"/>
            <w:vAlign w:val="center"/>
          </w:tcPr>
          <w:p>
            <w:pPr>
              <w:jc w:val="center"/>
              <w:rPr>
                <w:b/>
                <w:sz w:val="21"/>
                <w:szCs w:val="21"/>
              </w:rPr>
            </w:pPr>
            <w:r>
              <w:rPr>
                <w:b/>
                <w:sz w:val="21"/>
                <w:szCs w:val="21"/>
              </w:rPr>
              <w:t>2018-N1QMS-3021820</w:t>
            </w:r>
          </w:p>
          <w:p>
            <w:pPr>
              <w:jc w:val="center"/>
              <w:rPr>
                <w:b/>
                <w:sz w:val="21"/>
                <w:szCs w:val="21"/>
              </w:rPr>
            </w:pPr>
            <w:r>
              <w:rPr>
                <w:b/>
                <w:sz w:val="21"/>
                <w:szCs w:val="21"/>
              </w:rPr>
              <w:t>2018-N1EMS-3021820</w:t>
            </w:r>
          </w:p>
          <w:p>
            <w:pPr>
              <w:jc w:val="center"/>
              <w:rPr>
                <w:b/>
                <w:sz w:val="21"/>
                <w:szCs w:val="21"/>
              </w:rPr>
            </w:pPr>
            <w:r>
              <w:rPr>
                <w:b/>
                <w:sz w:val="21"/>
                <w:szCs w:val="21"/>
              </w:rPr>
              <w:t>2020-N1OHSMS-4021820</w:t>
            </w:r>
          </w:p>
        </w:tc>
        <w:tc>
          <w:tcPr>
            <w:tcW w:w="1340" w:type="dxa"/>
            <w:gridSpan w:val="3"/>
            <w:vAlign w:val="center"/>
          </w:tcPr>
          <w:p>
            <w:pPr>
              <w:jc w:val="center"/>
              <w:rPr>
                <w:b/>
                <w:sz w:val="21"/>
                <w:szCs w:val="21"/>
              </w:rPr>
            </w:pPr>
            <w:r>
              <w:rPr>
                <w:b/>
                <w:sz w:val="21"/>
                <w:szCs w:val="21"/>
              </w:rPr>
              <w:t>Q:34.02.00</w:t>
            </w:r>
          </w:p>
          <w:p>
            <w:pPr>
              <w:jc w:val="center"/>
              <w:rPr>
                <w:b/>
                <w:sz w:val="21"/>
                <w:szCs w:val="21"/>
              </w:rPr>
            </w:pPr>
            <w:r>
              <w:rPr>
                <w:b/>
                <w:sz w:val="21"/>
                <w:szCs w:val="21"/>
              </w:rPr>
              <w:t>E:34.02.00</w:t>
            </w:r>
          </w:p>
          <w:p>
            <w:pPr>
              <w:jc w:val="center"/>
              <w:rPr>
                <w:b/>
                <w:sz w:val="21"/>
                <w:szCs w:val="21"/>
              </w:rPr>
            </w:pPr>
            <w:r>
              <w:rPr>
                <w:b/>
                <w:sz w:val="21"/>
                <w:szCs w:val="21"/>
              </w:rPr>
              <w:t>O:34.02.00</w:t>
            </w:r>
          </w:p>
        </w:tc>
        <w:tc>
          <w:tcPr>
            <w:tcW w:w="1488" w:type="dxa"/>
            <w:vAlign w:val="center"/>
          </w:tcPr>
          <w:p>
            <w:pPr>
              <w:jc w:val="center"/>
              <w:rPr>
                <w:b/>
                <w:sz w:val="21"/>
                <w:szCs w:val="21"/>
              </w:rPr>
            </w:pPr>
            <w:r>
              <w:rPr>
                <w:b/>
                <w:sz w:val="21"/>
                <w:szCs w:val="21"/>
              </w:rPr>
              <w:t>ISC-21820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004" w:type="dxa"/>
          </w:tcPr>
          <w:p>
            <w:pPr>
              <w:rPr>
                <w:b/>
                <w:sz w:val="21"/>
                <w:szCs w:val="21"/>
              </w:rPr>
            </w:pPr>
          </w:p>
        </w:tc>
        <w:tc>
          <w:tcPr>
            <w:tcW w:w="1350" w:type="dxa"/>
          </w:tcPr>
          <w:p>
            <w:pPr>
              <w:rPr>
                <w:b/>
                <w:sz w:val="21"/>
                <w:szCs w:val="21"/>
              </w:rPr>
            </w:pPr>
          </w:p>
        </w:tc>
        <w:tc>
          <w:tcPr>
            <w:tcW w:w="2810" w:type="dxa"/>
          </w:tcPr>
          <w:p>
            <w:pPr>
              <w:rPr>
                <w:b/>
                <w:sz w:val="21"/>
                <w:szCs w:val="21"/>
              </w:rPr>
            </w:pPr>
          </w:p>
        </w:tc>
        <w:tc>
          <w:tcPr>
            <w:tcW w:w="1340" w:type="dxa"/>
            <w:gridSpan w:val="3"/>
          </w:tcPr>
          <w:p>
            <w:pPr>
              <w:rPr>
                <w:b/>
                <w:sz w:val="21"/>
                <w:szCs w:val="21"/>
              </w:rPr>
            </w:pPr>
          </w:p>
        </w:tc>
        <w:tc>
          <w:tcPr>
            <w:tcW w:w="148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004" w:type="dxa"/>
          </w:tcPr>
          <w:p>
            <w:pPr>
              <w:rPr>
                <w:b/>
                <w:sz w:val="21"/>
                <w:szCs w:val="21"/>
              </w:rPr>
            </w:pPr>
          </w:p>
        </w:tc>
        <w:tc>
          <w:tcPr>
            <w:tcW w:w="1350" w:type="dxa"/>
          </w:tcPr>
          <w:p>
            <w:pPr>
              <w:rPr>
                <w:b/>
                <w:sz w:val="21"/>
                <w:szCs w:val="21"/>
              </w:rPr>
            </w:pPr>
          </w:p>
        </w:tc>
        <w:tc>
          <w:tcPr>
            <w:tcW w:w="2810" w:type="dxa"/>
          </w:tcPr>
          <w:p>
            <w:pPr>
              <w:rPr>
                <w:b/>
                <w:sz w:val="21"/>
                <w:szCs w:val="21"/>
              </w:rPr>
            </w:pPr>
          </w:p>
        </w:tc>
        <w:tc>
          <w:tcPr>
            <w:tcW w:w="1340" w:type="dxa"/>
            <w:gridSpan w:val="3"/>
          </w:tcPr>
          <w:p>
            <w:pPr>
              <w:rPr>
                <w:b/>
                <w:sz w:val="21"/>
                <w:szCs w:val="21"/>
              </w:rPr>
            </w:pPr>
          </w:p>
        </w:tc>
        <w:tc>
          <w:tcPr>
            <w:tcW w:w="148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004" w:type="dxa"/>
          </w:tcPr>
          <w:p>
            <w:pPr>
              <w:rPr>
                <w:b/>
                <w:sz w:val="21"/>
                <w:szCs w:val="21"/>
              </w:rPr>
            </w:pPr>
          </w:p>
        </w:tc>
        <w:tc>
          <w:tcPr>
            <w:tcW w:w="1350" w:type="dxa"/>
          </w:tcPr>
          <w:p>
            <w:pPr>
              <w:rPr>
                <w:b/>
                <w:sz w:val="21"/>
                <w:szCs w:val="21"/>
              </w:rPr>
            </w:pPr>
          </w:p>
        </w:tc>
        <w:tc>
          <w:tcPr>
            <w:tcW w:w="2810" w:type="dxa"/>
          </w:tcPr>
          <w:p>
            <w:pPr>
              <w:rPr>
                <w:b/>
                <w:sz w:val="21"/>
                <w:szCs w:val="21"/>
              </w:rPr>
            </w:pPr>
          </w:p>
        </w:tc>
        <w:tc>
          <w:tcPr>
            <w:tcW w:w="1340" w:type="dxa"/>
            <w:gridSpan w:val="3"/>
          </w:tcPr>
          <w:p>
            <w:pPr>
              <w:rPr>
                <w:b/>
                <w:sz w:val="21"/>
                <w:szCs w:val="21"/>
              </w:rPr>
            </w:pPr>
          </w:p>
        </w:tc>
        <w:tc>
          <w:tcPr>
            <w:tcW w:w="1488"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004" w:type="dxa"/>
            <w:vAlign w:val="center"/>
          </w:tcPr>
          <w:p>
            <w:pPr>
              <w:jc w:val="center"/>
              <w:rPr>
                <w:b/>
                <w:sz w:val="21"/>
                <w:szCs w:val="21"/>
              </w:rPr>
            </w:pPr>
            <w:r>
              <w:rPr>
                <w:rFonts w:hint="eastAsia"/>
                <w:b/>
                <w:sz w:val="21"/>
                <w:szCs w:val="21"/>
              </w:rPr>
              <w:t>角色</w:t>
            </w:r>
          </w:p>
        </w:tc>
        <w:tc>
          <w:tcPr>
            <w:tcW w:w="6988"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004" w:type="dxa"/>
            <w:vAlign w:val="center"/>
          </w:tcPr>
          <w:p>
            <w:pPr>
              <w:jc w:val="center"/>
              <w:rPr>
                <w:b/>
                <w:sz w:val="21"/>
                <w:szCs w:val="21"/>
              </w:rPr>
            </w:pPr>
          </w:p>
        </w:tc>
        <w:tc>
          <w:tcPr>
            <w:tcW w:w="6988"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04" w:type="dxa"/>
            <w:vAlign w:val="center"/>
          </w:tcPr>
          <w:p>
            <w:pPr>
              <w:jc w:val="center"/>
              <w:rPr>
                <w:b/>
              </w:rPr>
            </w:pPr>
          </w:p>
        </w:tc>
        <w:tc>
          <w:tcPr>
            <w:tcW w:w="6988"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004" w:type="dxa"/>
            <w:vAlign w:val="center"/>
          </w:tcPr>
          <w:p>
            <w:pPr>
              <w:jc w:val="center"/>
              <w:rPr>
                <w:b/>
              </w:rPr>
            </w:pPr>
          </w:p>
        </w:tc>
        <w:tc>
          <w:tcPr>
            <w:tcW w:w="6988"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w:t>
      </w:r>
      <w:r>
        <w:rPr>
          <w:rFonts w:hint="eastAsia"/>
          <w:b/>
          <w:sz w:val="21"/>
          <w:szCs w:val="21"/>
          <w:lang w:val="en-US" w:eastAsia="zh-CN"/>
        </w:rPr>
        <w:t xml:space="preserve"> </w:t>
      </w:r>
      <w:r>
        <w:rPr>
          <w:rFonts w:hint="eastAsia"/>
          <w:b/>
          <w:sz w:val="21"/>
          <w:szCs w:val="21"/>
        </w:rPr>
        <w:t>idt</w:t>
      </w:r>
      <w:r>
        <w:rPr>
          <w:rFonts w:hint="eastAsia"/>
          <w:b/>
          <w:sz w:val="21"/>
          <w:szCs w:val="21"/>
          <w:lang w:val="en-US" w:eastAsia="zh-CN"/>
        </w:rPr>
        <w:t xml:space="preserve"> </w:t>
      </w:r>
      <w:r>
        <w:rPr>
          <w:rFonts w:hint="eastAsia"/>
          <w:b/>
          <w:sz w:val="21"/>
          <w:szCs w:val="21"/>
        </w:rPr>
        <w:t xml:space="preserve">GB/T </w:t>
      </w:r>
      <w:r>
        <w:rPr>
          <w:rFonts w:hint="eastAsia"/>
          <w:b/>
          <w:sz w:val="21"/>
          <w:szCs w:val="21"/>
          <w:lang w:val="en-US" w:eastAsia="zh-CN"/>
        </w:rPr>
        <w:t>45</w:t>
      </w:r>
      <w:r>
        <w:rPr>
          <w:rFonts w:hint="eastAsia"/>
          <w:b/>
          <w:sz w:val="21"/>
          <w:szCs w:val="21"/>
        </w:rPr>
        <w:t>001-20</w:t>
      </w:r>
      <w:r>
        <w:rPr>
          <w:rFonts w:hint="eastAsia"/>
          <w:b/>
          <w:sz w:val="21"/>
          <w:szCs w:val="21"/>
          <w:lang w:val="en-US" w:eastAsia="zh-CN"/>
        </w:rPr>
        <w:t>20</w:t>
      </w:r>
      <w:r>
        <w:rPr>
          <w:rFonts w:hint="eastAsia"/>
          <w:b/>
          <w:sz w:val="21"/>
          <w:szCs w:val="21"/>
        </w:rPr>
        <w:t xml:space="preserve"> 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494"/>
        <w:gridCol w:w="1580"/>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292" w:type="dxa"/>
            <w:gridSpan w:val="3"/>
          </w:tcPr>
          <w:p>
            <w:pPr>
              <w:spacing w:line="260" w:lineRule="exact"/>
              <w:rPr>
                <w:rFonts w:ascii="宋体"/>
                <w:b/>
                <w:color w:val="FF0000"/>
                <w:sz w:val="21"/>
              </w:rPr>
            </w:pPr>
            <w:bookmarkStart w:id="10" w:name="组织名称Add"/>
            <w:r>
              <w:rPr>
                <w:rFonts w:ascii="宋体"/>
                <w:b/>
                <w:sz w:val="21"/>
                <w:szCs w:val="22"/>
              </w:rPr>
              <w:t>河北从瑞环保科技有限公司</w:t>
            </w:r>
            <w:bookmarkEnd w:id="10"/>
          </w:p>
        </w:tc>
        <w:tc>
          <w:tcPr>
            <w:tcW w:w="158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716" w:type="dxa"/>
          </w:tcPr>
          <w:p>
            <w:pPr>
              <w:spacing w:line="260" w:lineRule="exact"/>
              <w:rPr>
                <w:rFonts w:hint="default" w:ascii="宋体" w:eastAsia="宋体"/>
                <w:b/>
                <w:sz w:val="21"/>
                <w:lang w:val="en-US" w:eastAsia="zh-CN"/>
              </w:rPr>
            </w:pPr>
            <w:r>
              <w:rPr>
                <w:rFonts w:hint="eastAsia" w:ascii="宋体"/>
                <w:b/>
                <w:sz w:val="21"/>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292" w:type="dxa"/>
            <w:gridSpan w:val="3"/>
          </w:tcPr>
          <w:p>
            <w:pPr>
              <w:rPr>
                <w:rFonts w:ascii="宋体"/>
                <w:b/>
                <w:sz w:val="21"/>
              </w:rPr>
            </w:pPr>
            <w:bookmarkStart w:id="11" w:name="注册地址"/>
            <w:r>
              <w:rPr>
                <w:rFonts w:ascii="宋体"/>
                <w:b/>
                <w:sz w:val="21"/>
              </w:rPr>
              <w:t>河北省石家庄市新华区友谊北大街399号</w:t>
            </w:r>
            <w:bookmarkEnd w:id="11"/>
          </w:p>
        </w:tc>
        <w:tc>
          <w:tcPr>
            <w:tcW w:w="1580" w:type="dxa"/>
            <w:vMerge w:val="restart"/>
            <w:vAlign w:val="center"/>
          </w:tcPr>
          <w:p>
            <w:pPr>
              <w:jc w:val="center"/>
              <w:rPr>
                <w:rFonts w:ascii="宋体"/>
                <w:b/>
                <w:sz w:val="21"/>
              </w:rPr>
            </w:pPr>
            <w:r>
              <w:rPr>
                <w:rFonts w:hint="eastAsia" w:ascii="宋体" w:hAnsi="宋体"/>
                <w:b/>
                <w:sz w:val="21"/>
              </w:rPr>
              <w:t>邮编</w:t>
            </w:r>
          </w:p>
        </w:tc>
        <w:tc>
          <w:tcPr>
            <w:tcW w:w="1716" w:type="dxa"/>
          </w:tcPr>
          <w:p>
            <w:pPr>
              <w:rPr>
                <w:rFonts w:ascii="宋体"/>
                <w:b/>
                <w:sz w:val="21"/>
              </w:rPr>
            </w:pPr>
            <w:bookmarkStart w:id="12" w:name="注册邮编"/>
            <w:r>
              <w:rPr>
                <w:rFonts w:ascii="宋体"/>
                <w:b/>
                <w:sz w:val="21"/>
              </w:rPr>
              <w:t>050000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292" w:type="dxa"/>
            <w:gridSpan w:val="3"/>
          </w:tcPr>
          <w:p>
            <w:pPr>
              <w:rPr>
                <w:rFonts w:ascii="宋体"/>
                <w:b/>
                <w:sz w:val="21"/>
              </w:rPr>
            </w:pPr>
            <w:bookmarkStart w:id="13" w:name="办公地址"/>
            <w:r>
              <w:rPr>
                <w:rFonts w:ascii="宋体"/>
                <w:b/>
                <w:sz w:val="21"/>
              </w:rPr>
              <w:t>河北省石家庄市新华区友谊北大街399号</w:t>
            </w:r>
            <w:bookmarkEnd w:id="13"/>
          </w:p>
        </w:tc>
        <w:tc>
          <w:tcPr>
            <w:tcW w:w="1580" w:type="dxa"/>
            <w:vMerge w:val="continue"/>
            <w:vAlign w:val="center"/>
          </w:tcPr>
          <w:p>
            <w:pPr>
              <w:jc w:val="center"/>
              <w:rPr>
                <w:rFonts w:ascii="宋体"/>
                <w:b/>
                <w:sz w:val="21"/>
              </w:rPr>
            </w:pPr>
          </w:p>
        </w:tc>
        <w:tc>
          <w:tcPr>
            <w:tcW w:w="1716" w:type="dxa"/>
          </w:tcPr>
          <w:p>
            <w:pPr>
              <w:rPr>
                <w:rFonts w:ascii="宋体"/>
                <w:b/>
                <w:sz w:val="21"/>
              </w:rPr>
            </w:pPr>
            <w:bookmarkStart w:id="14" w:name="办公邮编"/>
            <w:r>
              <w:rPr>
                <w:rFonts w:ascii="宋体"/>
                <w:b/>
                <w:sz w:val="21"/>
              </w:rPr>
              <w:t>050000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292" w:type="dxa"/>
            <w:gridSpan w:val="3"/>
          </w:tcPr>
          <w:p>
            <w:pPr>
              <w:rPr>
                <w:rFonts w:ascii="宋体"/>
                <w:b/>
                <w:sz w:val="21"/>
              </w:rPr>
            </w:pPr>
            <w:bookmarkStart w:id="15" w:name="生产地址Add"/>
            <w:r>
              <w:rPr>
                <w:rFonts w:ascii="宋体"/>
                <w:b/>
                <w:sz w:val="21"/>
              </w:rPr>
              <w:t>河北省石家庄市新华区友谊北大街399号</w:t>
            </w:r>
            <w:bookmarkEnd w:id="15"/>
          </w:p>
        </w:tc>
        <w:tc>
          <w:tcPr>
            <w:tcW w:w="1580" w:type="dxa"/>
            <w:vMerge w:val="continue"/>
            <w:vAlign w:val="center"/>
          </w:tcPr>
          <w:p>
            <w:pPr>
              <w:jc w:val="center"/>
              <w:rPr>
                <w:rFonts w:ascii="宋体"/>
                <w:b/>
                <w:sz w:val="21"/>
              </w:rPr>
            </w:pPr>
          </w:p>
        </w:tc>
        <w:tc>
          <w:tcPr>
            <w:tcW w:w="1716" w:type="dxa"/>
          </w:tcPr>
          <w:p>
            <w:pPr>
              <w:rPr>
                <w:rFonts w:ascii="宋体"/>
                <w:b/>
                <w:sz w:val="21"/>
              </w:rPr>
            </w:pPr>
            <w:bookmarkStart w:id="16" w:name="生产邮编"/>
            <w:r>
              <w:rPr>
                <w:rFonts w:ascii="宋体"/>
                <w:b/>
                <w:sz w:val="21"/>
              </w:rPr>
              <w:t>050000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任国祥</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494" w:type="dxa"/>
            <w:vAlign w:val="center"/>
          </w:tcPr>
          <w:p>
            <w:pPr>
              <w:jc w:val="center"/>
              <w:rPr>
                <w:rFonts w:ascii="宋体"/>
                <w:b/>
                <w:sz w:val="21"/>
              </w:rPr>
            </w:pPr>
            <w:bookmarkStart w:id="18" w:name="联系人电话Add"/>
            <w:r>
              <w:rPr>
                <w:rFonts w:ascii="宋体"/>
                <w:b/>
                <w:sz w:val="21"/>
              </w:rPr>
              <w:t>19933105300</w:t>
            </w:r>
            <w:bookmarkEnd w:id="18"/>
          </w:p>
        </w:tc>
        <w:tc>
          <w:tcPr>
            <w:tcW w:w="1580" w:type="dxa"/>
            <w:vAlign w:val="center"/>
          </w:tcPr>
          <w:p>
            <w:pPr>
              <w:jc w:val="center"/>
              <w:rPr>
                <w:rFonts w:ascii="宋体"/>
                <w:b/>
                <w:sz w:val="21"/>
              </w:rPr>
            </w:pPr>
            <w:r>
              <w:rPr>
                <w:rFonts w:hint="eastAsia" w:ascii="宋体" w:hAnsi="宋体"/>
                <w:b/>
                <w:sz w:val="21"/>
              </w:rPr>
              <w:t>传真</w:t>
            </w:r>
          </w:p>
        </w:tc>
        <w:tc>
          <w:tcPr>
            <w:tcW w:w="1716"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李秀容</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494" w:type="dxa"/>
          </w:tcPr>
          <w:p>
            <w:pPr>
              <w:rPr>
                <w:rFonts w:ascii="宋体" w:hAnsi="宋体"/>
                <w:b/>
                <w:sz w:val="21"/>
                <w:szCs w:val="21"/>
              </w:rPr>
            </w:pPr>
          </w:p>
        </w:tc>
        <w:tc>
          <w:tcPr>
            <w:tcW w:w="1580" w:type="dxa"/>
            <w:vAlign w:val="center"/>
          </w:tcPr>
          <w:p>
            <w:pPr>
              <w:jc w:val="center"/>
              <w:rPr>
                <w:rFonts w:ascii="宋体" w:hAnsi="宋体"/>
                <w:b/>
                <w:sz w:val="21"/>
                <w:szCs w:val="21"/>
              </w:rPr>
            </w:pPr>
            <w:r>
              <w:rPr>
                <w:rFonts w:hint="eastAsia" w:ascii="宋体" w:hAnsi="宋体"/>
                <w:b/>
                <w:sz w:val="21"/>
                <w:szCs w:val="21"/>
              </w:rPr>
              <w:t>管理者代表</w:t>
            </w:r>
          </w:p>
        </w:tc>
        <w:tc>
          <w:tcPr>
            <w:tcW w:w="1716" w:type="dxa"/>
          </w:tcPr>
          <w:p>
            <w:pPr>
              <w:rPr>
                <w:rFonts w:ascii="宋体"/>
                <w:b/>
                <w:sz w:val="21"/>
              </w:rPr>
            </w:pPr>
            <w:bookmarkStart w:id="21" w:name="管理者代表"/>
            <w:r>
              <w:rPr>
                <w:rFonts w:ascii="宋体"/>
                <w:b/>
                <w:sz w:val="21"/>
              </w:rPr>
              <w:t>任国祥</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2020年11月19日 上午至2020年11月21日 下午</w:t>
            </w:r>
            <w:bookmarkEnd w:id="22"/>
          </w:p>
        </w:tc>
        <w:tc>
          <w:tcPr>
            <w:tcW w:w="1494" w:type="dxa"/>
            <w:vAlign w:val="center"/>
          </w:tcPr>
          <w:p>
            <w:pPr>
              <w:rPr>
                <w:rFonts w:ascii="宋体" w:hAnsi="宋体"/>
                <w:b/>
                <w:sz w:val="21"/>
                <w:szCs w:val="21"/>
              </w:rPr>
            </w:pPr>
            <w:r>
              <w:rPr>
                <w:rFonts w:hint="eastAsia" w:ascii="宋体" w:hAnsi="宋体"/>
                <w:b/>
                <w:sz w:val="21"/>
                <w:szCs w:val="21"/>
              </w:rPr>
              <w:t>一体化审核</w:t>
            </w:r>
          </w:p>
        </w:tc>
        <w:tc>
          <w:tcPr>
            <w:tcW w:w="3296" w:type="dxa"/>
            <w:gridSpan w:val="2"/>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hint="eastAsia"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sz w:val="20"/>
              </w:rPr>
              <w:t>资质范围内的环境监测、公共卫生监测</w:t>
            </w:r>
          </w:p>
          <w:p>
            <w:pPr>
              <w:spacing w:line="360" w:lineRule="exact"/>
              <w:rPr>
                <w:rFonts w:ascii="宋体" w:hAnsi="宋体"/>
                <w:b/>
                <w:sz w:val="21"/>
                <w:szCs w:val="21"/>
              </w:rPr>
            </w:pPr>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sz w:val="20"/>
              </w:rPr>
              <w:t>资质范围内的环境监测、公共卫生监测及相关环境管理活动</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sz w:val="20"/>
              </w:rPr>
              <w:t>资质范围内的环境监测、公共卫生监测及相关职业健康安全管理活动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Q：34.02.00</w:t>
            </w:r>
          </w:p>
          <w:p>
            <w:pPr>
              <w:spacing w:line="260" w:lineRule="exact"/>
              <w:rPr>
                <w:rFonts w:ascii="宋体" w:hAnsi="宋体"/>
                <w:b/>
                <w:sz w:val="21"/>
                <w:szCs w:val="21"/>
              </w:rPr>
            </w:pPr>
            <w:r>
              <w:rPr>
                <w:rFonts w:ascii="宋体" w:hAnsi="宋体"/>
                <w:b/>
                <w:sz w:val="21"/>
                <w:szCs w:val="21"/>
              </w:rPr>
              <w:t>E：34.02.00</w:t>
            </w:r>
          </w:p>
          <w:p>
            <w:pPr>
              <w:spacing w:line="260" w:lineRule="exact"/>
              <w:rPr>
                <w:rFonts w:ascii="宋体" w:hAnsi="宋体"/>
                <w:b/>
                <w:sz w:val="21"/>
                <w:szCs w:val="21"/>
              </w:rPr>
            </w:pPr>
            <w:r>
              <w:rPr>
                <w:rFonts w:ascii="宋体" w:hAnsi="宋体"/>
                <w:b/>
                <w:sz w:val="21"/>
                <w:szCs w:val="21"/>
              </w:rPr>
              <w:t>O：34.02.00</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494" w:type="dxa"/>
          </w:tcPr>
          <w:p>
            <w:pPr>
              <w:spacing w:line="260" w:lineRule="exact"/>
              <w:rPr>
                <w:rFonts w:ascii="宋体" w:hAnsi="宋体"/>
                <w:b/>
                <w:sz w:val="21"/>
                <w:szCs w:val="21"/>
              </w:rPr>
            </w:pPr>
          </w:p>
        </w:tc>
        <w:tc>
          <w:tcPr>
            <w:tcW w:w="158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716" w:type="dxa"/>
          </w:tcPr>
          <w:p>
            <w:pPr>
              <w:spacing w:line="260" w:lineRule="exact"/>
              <w:rPr>
                <w:rFonts w:hint="default" w:ascii="宋体" w:eastAsia="宋体"/>
                <w:b/>
                <w:sz w:val="21"/>
                <w:lang w:val="en-US" w:eastAsia="zh-CN"/>
              </w:rPr>
            </w:pPr>
            <w:r>
              <w:rPr>
                <w:rFonts w:hint="eastAsia" w:ascii="宋体"/>
                <w:b/>
                <w:sz w:val="21"/>
                <w:lang w:val="en-US" w:eastAsia="zh-CN"/>
              </w:rPr>
              <w:t>2019.10.28-31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hint="default" w:ascii="宋体" w:hAnsi="宋体" w:eastAsia="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rFonts w:hint="eastAsia" w:ascii="宋体" w:hAnsi="宋体"/>
          <w:b/>
          <w:sz w:val="21"/>
          <w:szCs w:val="21"/>
          <w:lang w:val="en-US" w:eastAsia="zh-CN"/>
        </w:rPr>
        <w:t>无</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rPr>
                <w:rFonts w:hint="eastAsia" w:ascii="Times New Roman" w:hAnsi="Times New Roman" w:cs="Times New Roman"/>
                <w:sz w:val="20"/>
                <w:szCs w:val="22"/>
              </w:rPr>
            </w:pPr>
            <w:r>
              <w:rPr>
                <w:rFonts w:hint="eastAsia" w:ascii="Times New Roman" w:hAnsi="Times New Roman" w:cs="Times New Roman"/>
                <w:sz w:val="20"/>
                <w:szCs w:val="22"/>
              </w:rPr>
              <w:t>各种内部因素</w:t>
            </w:r>
            <w:r>
              <w:rPr>
                <w:rFonts w:hint="eastAsia" w:ascii="Times New Roman" w:hAnsi="Times New Roman" w:cs="Times New Roman"/>
                <w:sz w:val="20"/>
                <w:szCs w:val="22"/>
                <w:lang w:eastAsia="zh-CN"/>
              </w:rPr>
              <w:t>：</w:t>
            </w:r>
            <w:r>
              <w:rPr>
                <w:rFonts w:hint="eastAsia" w:ascii="Times New Roman" w:hAnsi="Times New Roman" w:cs="Times New Roman"/>
                <w:sz w:val="20"/>
                <w:szCs w:val="22"/>
              </w:rPr>
              <w:t>如公司的价值观、文化、知识和绩效等相关因素</w:t>
            </w:r>
          </w:p>
          <w:p>
            <w:pPr>
              <w:rPr>
                <w:rFonts w:hint="eastAsia" w:ascii="Times New Roman" w:hAnsi="Times New Roman" w:cs="Times New Roman"/>
                <w:sz w:val="20"/>
                <w:szCs w:val="22"/>
              </w:rPr>
            </w:pPr>
            <w:r>
              <w:rPr>
                <w:rFonts w:hint="eastAsia" w:ascii="Times New Roman" w:hAnsi="Times New Roman" w:cs="Times New Roman"/>
                <w:sz w:val="20"/>
                <w:szCs w:val="22"/>
              </w:rPr>
              <w:t>外部因素</w:t>
            </w:r>
            <w:r>
              <w:rPr>
                <w:rFonts w:hint="eastAsia" w:ascii="Times New Roman" w:hAnsi="Times New Roman" w:cs="Times New Roman"/>
                <w:sz w:val="20"/>
                <w:szCs w:val="22"/>
                <w:lang w:eastAsia="zh-CN"/>
              </w:rPr>
              <w:t>：</w:t>
            </w:r>
            <w:r>
              <w:rPr>
                <w:rFonts w:hint="eastAsia" w:ascii="Times New Roman" w:hAnsi="Times New Roman" w:cs="Times New Roman"/>
                <w:sz w:val="20"/>
                <w:szCs w:val="22"/>
              </w:rPr>
              <w:t>如来自于国际、国内、地区或当地的各种法律法规、技术、竞争、市场、文化、社会和经济环境等因素</w:t>
            </w:r>
            <w:r>
              <w:rPr>
                <w:rFonts w:hint="eastAsia" w:ascii="Times New Roman" w:hAnsi="Times New Roman" w:cs="Times New Roman"/>
                <w:sz w:val="20"/>
                <w:szCs w:val="22"/>
                <w:lang w:eastAsia="zh-CN"/>
              </w:rPr>
              <w:t>。</w:t>
            </w:r>
            <w:r>
              <w:rPr>
                <w:rFonts w:hint="eastAsia" w:ascii="Times New Roman" w:hAnsi="Times New Roman" w:cs="Times New Roman"/>
                <w:sz w:val="20"/>
                <w:szCs w:val="22"/>
              </w:rPr>
              <w:t>这些因素可能包括需要考虑的正面和负面要素或条件。</w:t>
            </w:r>
          </w:p>
          <w:p>
            <w:pPr>
              <w:rPr>
                <w:rFonts w:hint="eastAsia" w:ascii="Times New Roman" w:hAnsi="Times New Roman" w:cs="Times New Roman"/>
                <w:sz w:val="20"/>
                <w:szCs w:val="22"/>
                <w:lang w:eastAsia="zh-CN"/>
              </w:rPr>
            </w:pPr>
            <w:r>
              <w:rPr>
                <w:rFonts w:hint="eastAsia" w:ascii="Times New Roman" w:hAnsi="Times New Roman" w:cs="Times New Roman"/>
                <w:sz w:val="20"/>
                <w:szCs w:val="22"/>
              </w:rPr>
              <w:t>周边环境：气候、空气和水质量、土地使用、现存污染、资源的可获得性等相关因素</w:t>
            </w:r>
            <w:r>
              <w:rPr>
                <w:rFonts w:hint="eastAsia" w:ascii="Times New Roman" w:hAnsi="Times New Roman" w:cs="Times New Roman"/>
                <w:sz w:val="20"/>
                <w:szCs w:val="22"/>
                <w:lang w:eastAsia="zh-CN"/>
              </w:rPr>
              <w:t>；</w:t>
            </w:r>
          </w:p>
          <w:p>
            <w:pPr>
              <w:rPr>
                <w:rFonts w:hint="eastAsia" w:ascii="宋体" w:hAnsi="宋体"/>
                <w:b/>
                <w:sz w:val="21"/>
                <w:szCs w:val="21"/>
              </w:rPr>
            </w:pPr>
            <w:r>
              <w:rPr>
                <w:rFonts w:hint="eastAsia" w:ascii="Times New Roman" w:hAnsi="Times New Roman" w:cs="Times New Roman"/>
                <w:sz w:val="20"/>
                <w:szCs w:val="22"/>
              </w:rPr>
              <w:t>对这些内外部因素通过定期的网站获取、顾客沟通及定期内部总结等方式进行监视和评审</w:t>
            </w:r>
            <w:r>
              <w:rPr>
                <w:rFonts w:hint="eastAsia" w:ascii="Times New Roman" w:hAnsi="Times New Roman"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rPr>
                <w:rFonts w:hint="eastAsia" w:ascii="Times New Roman" w:hAnsi="Times New Roman" w:cs="Times New Roman"/>
                <w:sz w:val="20"/>
                <w:szCs w:val="22"/>
              </w:rPr>
            </w:pPr>
            <w:r>
              <w:rPr>
                <w:rFonts w:hint="eastAsia" w:ascii="Times New Roman" w:hAnsi="Times New Roman" w:cs="Times New Roman"/>
                <w:sz w:val="20"/>
                <w:szCs w:val="22"/>
              </w:rPr>
              <w:t>有关的相关方；除员工外，本公司的相关方包括：顾客、股东、员工、银行、外部供应商、员工、政府部门等。</w:t>
            </w:r>
          </w:p>
          <w:p>
            <w:pPr>
              <w:rPr>
                <w:rFonts w:hint="eastAsia" w:ascii="Times New Roman" w:hAnsi="Times New Roman" w:cs="Times New Roman"/>
                <w:sz w:val="20"/>
                <w:szCs w:val="22"/>
              </w:rPr>
            </w:pPr>
            <w:r>
              <w:rPr>
                <w:rFonts w:hint="eastAsia" w:ascii="Times New Roman" w:hAnsi="Times New Roman" w:cs="Times New Roman"/>
                <w:sz w:val="20"/>
                <w:szCs w:val="22"/>
                <w:lang w:val="en-US" w:eastAsia="zh-CN"/>
              </w:rPr>
              <w:t>针对</w:t>
            </w:r>
            <w:r>
              <w:rPr>
                <w:rFonts w:hint="eastAsia" w:ascii="Times New Roman" w:hAnsi="Times New Roman" w:cs="Times New Roman"/>
                <w:sz w:val="20"/>
                <w:szCs w:val="22"/>
              </w:rPr>
              <w:t>这些相关方的要求：公司组织各部门对这些相关方及其要求的信息进行监视和评审，以便于理解和持续满足相关方的需求期望。</w:t>
            </w:r>
          </w:p>
          <w:p>
            <w:pPr>
              <w:rPr>
                <w:rFonts w:hint="eastAsia" w:ascii="宋体" w:hAnsi="宋体"/>
                <w:b/>
                <w:sz w:val="21"/>
                <w:szCs w:val="21"/>
              </w:rPr>
            </w:pPr>
            <w:r>
              <w:rPr>
                <w:rFonts w:hint="eastAsia" w:ascii="Times New Roman" w:hAnsi="Times New Roman" w:cs="Times New Roman"/>
                <w:sz w:val="20"/>
                <w:szCs w:val="22"/>
              </w:rPr>
              <w:t>公司每年通过征询意见、组织合理化建议、文件报送、传递、访谈、实地走访、不定期联络、定期日常沟通等方式，持续与员工和相关方沟通，了解员工和相关方要求，对他们的要求及时进行评审。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rPr>
                <w:rFonts w:hint="eastAsia" w:ascii="Times New Roman" w:hAnsi="Times New Roman" w:cs="Times New Roman"/>
                <w:sz w:val="20"/>
                <w:szCs w:val="22"/>
              </w:rPr>
            </w:pPr>
            <w:r>
              <w:rPr>
                <w:rFonts w:hint="eastAsia" w:ascii="Times New Roman" w:hAnsi="Times New Roman" w:cs="Times New Roman"/>
                <w:sz w:val="20"/>
                <w:szCs w:val="22"/>
              </w:rPr>
              <w:t>安全为天  质量为先  美化环境  守法诚信  创新发展  顾客满意</w:t>
            </w:r>
          </w:p>
          <w:p>
            <w:pPr>
              <w:rPr>
                <w:rFonts w:hint="eastAsia" w:cs="宋体"/>
                <w:szCs w:val="22"/>
              </w:rPr>
            </w:pPr>
            <w:r>
              <w:rPr>
                <w:rFonts w:hint="eastAsia" w:ascii="Times New Roman" w:hAnsi="Times New Roman" w:cs="Times New Roman"/>
                <w:sz w:val="20"/>
                <w:szCs w:val="22"/>
              </w:rPr>
              <w:t>管理方针与企业的经营宗旨相适应；通过会议沟通，让全体员工理解</w:t>
            </w:r>
            <w:r>
              <w:rPr>
                <w:rFonts w:hint="eastAsia" w:ascii="Times New Roman" w:hAnsi="Times New Roman" w:cs="Times New Roman"/>
                <w:sz w:val="20"/>
                <w:szCs w:val="22"/>
                <w:lang w:val="en-US" w:eastAsia="zh-CN"/>
              </w:rPr>
              <w:t>并</w:t>
            </w:r>
            <w:r>
              <w:rPr>
                <w:rFonts w:hint="eastAsia" w:ascii="Times New Roman" w:hAnsi="Times New Roman" w:cs="Times New Roman"/>
                <w:sz w:val="20"/>
                <w:szCs w:val="22"/>
              </w:rPr>
              <w:t>执行。并定期进行评审</w:t>
            </w:r>
            <w:r>
              <w:rPr>
                <w:rFonts w:hint="eastAsia" w:ascii="Times New Roman" w:hAnsi="Times New Roman" w:cs="Times New Roman"/>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rPr>
                <w:rFonts w:hint="eastAsia" w:ascii="Times New Roman" w:hAnsi="Times New Roman" w:cs="Times New Roman"/>
                <w:sz w:val="20"/>
                <w:szCs w:val="22"/>
              </w:rPr>
            </w:pPr>
            <w:r>
              <w:rPr>
                <w:rFonts w:hint="eastAsia" w:ascii="Times New Roman" w:hAnsi="Times New Roman" w:cs="Times New Roman"/>
                <w:sz w:val="20"/>
                <w:szCs w:val="22"/>
              </w:rPr>
              <w:t>编制了《风险和机遇的应对控制程序》。</w:t>
            </w:r>
          </w:p>
          <w:p>
            <w:pPr>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分别对质量管理、环境管理、职业健康安全管理过程的风险和机遇进行识别并制定相应的控制措施。</w:t>
            </w:r>
          </w:p>
          <w:p>
            <w:pPr>
              <w:spacing w:line="28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keepNext w:val="0"/>
              <w:keepLines w:val="0"/>
              <w:pageBreakBefore w:val="0"/>
              <w:tabs>
                <w:tab w:val="left" w:pos="540"/>
              </w:tabs>
              <w:kinsoku/>
              <w:wordWrap/>
              <w:overflowPunct/>
              <w:topLinePunct w:val="0"/>
              <w:autoSpaceDE/>
              <w:autoSpaceDN/>
              <w:bidi w:val="0"/>
              <w:adjustRightInd/>
              <w:snapToGrid/>
              <w:spacing w:line="320" w:lineRule="exact"/>
              <w:ind w:left="201" w:hanging="211" w:hangingChars="100"/>
              <w:textAlignment w:val="auto"/>
              <w:rPr>
                <w:rFonts w:hint="eastAsia" w:ascii="宋体" w:hAnsi="宋体"/>
                <w:b/>
                <w:sz w:val="21"/>
                <w:szCs w:val="21"/>
                <w:lang w:eastAsia="zh-CN"/>
              </w:rPr>
            </w:pPr>
            <w:r>
              <w:rPr>
                <w:rFonts w:hint="eastAsia" w:ascii="宋体" w:hAnsi="宋体"/>
                <w:b/>
                <w:sz w:val="21"/>
                <w:szCs w:val="21"/>
              </w:rPr>
              <w:t>质量管理体系过程有：</w:t>
            </w:r>
            <w:r>
              <w:rPr>
                <w:rFonts w:hint="eastAsia" w:ascii="宋体" w:hAnsi="宋体"/>
                <w:sz w:val="21"/>
                <w:szCs w:val="21"/>
                <w:lang w:val="en-US" w:eastAsia="zh-CN"/>
              </w:rPr>
              <w:t>生产和服务提供过程；产品和服务的放行；销售过程；</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hint="default" w:ascii="宋体" w:hAnsi="宋体" w:eastAsia="宋体"/>
                <w:b/>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cs="Times New Roman"/>
                <w:sz w:val="21"/>
                <w:szCs w:val="21"/>
                <w:lang w:val="en-US" w:eastAsia="zh-CN"/>
              </w:rPr>
              <w:t>采样过程、检测过程、数据处理</w:t>
            </w:r>
          </w:p>
          <w:p>
            <w:pPr>
              <w:tabs>
                <w:tab w:val="left" w:pos="540"/>
              </w:tabs>
              <w:spacing w:line="300" w:lineRule="exact"/>
              <w:ind w:left="211" w:hanging="211" w:hangingChars="100"/>
              <w:rPr>
                <w:rFonts w:hint="eastAsia" w:ascii="宋体" w:hAnsi="宋体"/>
                <w:b/>
                <w:sz w:val="21"/>
                <w:szCs w:val="21"/>
                <w:lang w:val="en-US" w:eastAsia="zh-CN"/>
              </w:rPr>
            </w:pPr>
            <w:r>
              <w:rPr>
                <w:rFonts w:hint="eastAsia" w:ascii="宋体" w:hAnsi="宋体"/>
                <w:b/>
                <w:sz w:val="21"/>
                <w:szCs w:val="21"/>
              </w:rPr>
              <w:t>需要确认过程</w:t>
            </w: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lang w:eastAsia="zh-CN"/>
              </w:rPr>
              <w:t>：</w:t>
            </w:r>
            <w:r>
              <w:rPr>
                <w:rFonts w:hint="eastAsia" w:ascii="宋体" w:hAnsi="宋体"/>
                <w:b/>
                <w:sz w:val="21"/>
                <w:szCs w:val="21"/>
                <w:lang w:val="en-US" w:eastAsia="zh-CN"/>
              </w:rPr>
              <w:t>无</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删减条款是</w:t>
            </w:r>
            <w:r>
              <w:rPr>
                <w:rFonts w:hint="eastAsia" w:ascii="宋体" w:hAnsi="宋体"/>
                <w:b/>
                <w:sz w:val="21"/>
                <w:szCs w:val="21"/>
                <w:lang w:val="en-US" w:eastAsia="zh-CN"/>
              </w:rPr>
              <w:t>8.</w:t>
            </w:r>
            <w:r>
              <w:rPr>
                <w:rFonts w:hint="eastAsia" w:ascii="宋体" w:hAnsi="宋体"/>
                <w:b/>
                <w:sz w:val="21"/>
                <w:szCs w:val="21"/>
                <w:u w:val="single"/>
                <w:lang w:val="en-US" w:eastAsia="zh-CN"/>
              </w:rPr>
              <w:t>3</w:t>
            </w:r>
            <w:r>
              <w:rPr>
                <w:rFonts w:hint="eastAsia" w:ascii="宋体" w:hAnsi="宋体"/>
                <w:b/>
                <w:sz w:val="21"/>
                <w:szCs w:val="21"/>
                <w:u w:val="single"/>
              </w:rPr>
              <w:t>，删减理</w:t>
            </w:r>
            <w:r>
              <w:rPr>
                <w:rFonts w:hint="eastAsia" w:ascii="宋体" w:hAnsi="宋体"/>
                <w:b/>
                <w:sz w:val="21"/>
                <w:szCs w:val="21"/>
              </w:rPr>
              <w:t>由：</w:t>
            </w:r>
            <w:r>
              <w:rPr>
                <w:rFonts w:hint="eastAsia" w:ascii="宋体" w:hAnsi="宋体" w:cs="Times New Roman"/>
                <w:b w:val="0"/>
                <w:bCs/>
                <w:color w:val="000000" w:themeColor="text1"/>
                <w:sz w:val="20"/>
                <w:szCs w:val="20"/>
                <w:u w:val="none"/>
                <w:lang w:val="en-US" w:eastAsia="zh-CN"/>
              </w:rPr>
              <w:t>公司</w:t>
            </w:r>
            <w:r>
              <w:rPr>
                <w:rFonts w:hint="eastAsia" w:ascii="宋体" w:hAnsi="宋体"/>
                <w:b w:val="0"/>
                <w:bCs/>
                <w:color w:val="000000" w:themeColor="text1"/>
                <w:sz w:val="20"/>
                <w:szCs w:val="20"/>
                <w:u w:val="none"/>
              </w:rPr>
              <w:t>检测服务按国家标准或客户要求作业，不涉及设计研发，故公司目前不适用 “8.3”条款</w:t>
            </w:r>
            <w:r>
              <w:rPr>
                <w:rFonts w:hint="eastAsia" w:ascii="宋体" w:hAnsi="宋体"/>
                <w:b w:val="0"/>
                <w:bCs/>
                <w:color w:val="000000" w:themeColor="text1"/>
                <w:sz w:val="20"/>
                <w:szCs w:val="20"/>
                <w:u w:val="none"/>
                <w:lang w:eastAsia="zh-CN"/>
              </w:rPr>
              <w:t>。</w:t>
            </w: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sz w:val="21"/>
                <w:szCs w:val="21"/>
              </w:rPr>
            </w:pPr>
            <w:r>
              <w:rPr>
                <w:rFonts w:hint="eastAsia" w:ascii="Times New Roman" w:hAnsi="Times New Roman" w:cs="Times New Roman"/>
                <w:sz w:val="20"/>
                <w:szCs w:val="22"/>
                <w:lang w:val="en-US" w:eastAsia="zh-CN"/>
              </w:rPr>
              <w:t>提供重要环境因素清单</w:t>
            </w:r>
            <w:r>
              <w:rPr>
                <w:rFonts w:hint="eastAsia" w:cs="Times New Roman"/>
                <w:sz w:val="20"/>
                <w:szCs w:val="22"/>
                <w:lang w:val="en-US" w:eastAsia="zh-CN"/>
              </w:rPr>
              <w:t>7</w:t>
            </w:r>
            <w:r>
              <w:rPr>
                <w:rFonts w:hint="eastAsia" w:ascii="Times New Roman" w:hAnsi="Times New Roman" w:cs="Times New Roman"/>
                <w:sz w:val="20"/>
                <w:szCs w:val="22"/>
                <w:lang w:val="en-US" w:eastAsia="zh-CN"/>
              </w:rPr>
              <w:t>项（火灾、固体废弃物排放、噪声、废水、能源、资源消耗、危险化学品的泄露），制定了管理方案，通过设定目标及指标，制定方案计划，落实责任部门和责任人、完成日期、经费预算。并对方案的措施实施情况进行评审和验收。有验收人签字，领导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重大危险源控制清单</w:t>
            </w:r>
            <w:r>
              <w:rPr>
                <w:rFonts w:hint="eastAsia" w:cs="Times New Roman"/>
                <w:sz w:val="20"/>
                <w:szCs w:val="22"/>
                <w:lang w:val="en-US" w:eastAsia="zh-CN"/>
              </w:rPr>
              <w:t>4</w:t>
            </w:r>
            <w:r>
              <w:rPr>
                <w:rFonts w:hint="eastAsia" w:ascii="Times New Roman" w:hAnsi="Times New Roman" w:cs="Times New Roman"/>
                <w:sz w:val="20"/>
                <w:szCs w:val="22"/>
                <w:lang w:val="en-US" w:eastAsia="zh-CN"/>
              </w:rPr>
              <w:t>项，包括火灾、触电、</w:t>
            </w:r>
            <w:r>
              <w:rPr>
                <w:rFonts w:hint="eastAsia" w:cs="Times New Roman"/>
                <w:sz w:val="20"/>
                <w:szCs w:val="22"/>
                <w:lang w:val="en-US" w:eastAsia="zh-CN"/>
              </w:rPr>
              <w:t>机械伤害、</w:t>
            </w:r>
            <w:r>
              <w:rPr>
                <w:rFonts w:hint="eastAsia" w:ascii="Times New Roman" w:hAnsi="Times New Roman" w:cs="Times New Roman"/>
                <w:sz w:val="20"/>
                <w:szCs w:val="22"/>
                <w:lang w:val="en-US" w:eastAsia="zh-CN"/>
              </w:rPr>
              <w:t>疫情期间病毒感染等，</w:t>
            </w:r>
            <w:r>
              <w:rPr>
                <w:rFonts w:hint="eastAsia" w:cs="Times New Roman"/>
                <w:sz w:val="20"/>
                <w:szCs w:val="22"/>
                <w:lang w:val="en-US" w:eastAsia="zh-CN"/>
              </w:rPr>
              <w:t>制定</w:t>
            </w:r>
            <w:r>
              <w:rPr>
                <w:rFonts w:hint="eastAsia" w:ascii="Times New Roman" w:hAnsi="Times New Roman" w:cs="Times New Roman"/>
                <w:sz w:val="20"/>
                <w:szCs w:val="22"/>
                <w:lang w:val="en-US" w:eastAsia="zh-CN"/>
              </w:rPr>
              <w:t>控制措施：配置防疫物资，做好个人防护，工作场所定期消毒。制定了管理方案，通过设定目标及指标，制定方案计划，落实责任部门和责任人、完成日期、经费预算。并对方案的措施实施情况进行评审和验收。有验收人签字，领导确认。</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3"/>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A3"/>
            </w:r>
            <w:r>
              <w:rPr>
                <w:rFonts w:hint="eastAsia" w:ascii="宋体" w:hAnsi="宋体"/>
                <w:b/>
                <w:szCs w:val="21"/>
              </w:rPr>
              <w:t>法律法规获取充分</w:t>
            </w:r>
            <w:r>
              <w:rPr>
                <w:rFonts w:hint="eastAsia" w:ascii="宋体" w:hAnsi="宋体"/>
                <w:b/>
                <w:szCs w:val="21"/>
                <w:lang w:val="en-US" w:eastAsia="zh-CN"/>
              </w:rPr>
              <w:t xml:space="preserve"> 尚需完善</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r>
              <w:rPr>
                <w:rFonts w:hint="eastAsia" w:ascii="宋体" w:hAnsi="宋体" w:eastAsia="宋体" w:cs="Times New Roman"/>
                <w:b w:val="0"/>
                <w:bCs/>
                <w:color w:val="000000" w:themeColor="text1"/>
                <w:kern w:val="2"/>
                <w:sz w:val="20"/>
                <w:szCs w:val="20"/>
                <w:u w:val="none"/>
                <w:lang w:val="en-US" w:eastAsia="zh-CN" w:bidi="ar-SA"/>
              </w:rPr>
              <w:t>宣贯和培训</w:t>
            </w:r>
          </w:p>
          <w:p>
            <w:pPr>
              <w:pStyle w:val="13"/>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w:t>
            </w:r>
            <w:r>
              <w:rPr>
                <w:rFonts w:hint="eastAsia" w:ascii="宋体" w:hAnsi="宋体"/>
                <w:b/>
                <w:szCs w:val="21"/>
                <w:lang w:eastAsia="zh-CN"/>
              </w:rPr>
              <w:t>：</w:t>
            </w:r>
            <w:r>
              <w:rPr>
                <w:rFonts w:hint="eastAsia" w:ascii="宋体" w:hAnsi="宋体" w:eastAsia="宋体" w:cs="Times New Roman"/>
                <w:b w:val="0"/>
                <w:bCs/>
                <w:color w:val="000000" w:themeColor="text1"/>
                <w:kern w:val="2"/>
                <w:sz w:val="20"/>
                <w:szCs w:val="20"/>
                <w:u w:val="none"/>
                <w:lang w:val="en-US" w:eastAsia="zh-CN" w:bidi="ar-SA"/>
              </w:rPr>
              <w:t>及时更新</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质量、环境、职业健康安全目标：            2020年1-10月份完成情况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1、检测报告首次提交合格率≥95%                         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2、检测报告及时率≥98%                                 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3、顾客满意率≥95%                                     98%</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4、仪器设备完好率≥95%                                 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5、合同履约率99%                                      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6、火灾事故为0                                          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7、产生的固体废物100%分类、收集                       100%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8、职业病发生为0                                        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9、触电事故为0                                          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制定了管理方案，目标指标全部完成。</w:t>
            </w:r>
          </w:p>
          <w:p>
            <w:pPr>
              <w:spacing w:line="240" w:lineRule="exact"/>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eastAsia"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公司的体系文件便于查阅，并及时更新。执行的标准定期进行网上查新，法律法规定期更新。</w:t>
            </w:r>
          </w:p>
          <w:p>
            <w:pPr>
              <w:keepNext w:val="0"/>
              <w:keepLines w:val="0"/>
              <w:pageBreakBefore w:val="0"/>
              <w:widowControl w:val="0"/>
              <w:tabs>
                <w:tab w:val="left" w:pos="540"/>
              </w:tabs>
              <w:kinsoku/>
              <w:wordWrap/>
              <w:overflowPunct/>
              <w:topLinePunct w:val="0"/>
              <w:autoSpaceDE/>
              <w:autoSpaceDN/>
              <w:bidi w:val="0"/>
              <w:adjustRightInd/>
              <w:snapToGrid/>
              <w:spacing w:line="320" w:lineRule="exact"/>
              <w:textAlignment w:val="auto"/>
              <w:rPr>
                <w:rFonts w:hint="default" w:ascii="宋体" w:hAnsi="宋体"/>
                <w:b w:val="0"/>
                <w:bCs/>
                <w:color w:val="000000" w:themeColor="text1"/>
                <w:sz w:val="20"/>
                <w:szCs w:val="20"/>
                <w:u w:val="none"/>
                <w:lang w:val="en-US" w:eastAsia="zh-CN"/>
              </w:rPr>
            </w:pPr>
            <w:r>
              <w:rPr>
                <w:rFonts w:hint="eastAsia" w:ascii="宋体" w:hAnsi="宋体"/>
                <w:b w:val="0"/>
                <w:bCs/>
                <w:color w:val="000000" w:themeColor="text1"/>
                <w:sz w:val="20"/>
                <w:szCs w:val="20"/>
                <w:u w:val="none"/>
                <w:lang w:val="en-US" w:eastAsia="zh-CN"/>
              </w:rPr>
              <w:t>文件管理和控制符合要求。</w:t>
            </w:r>
          </w:p>
          <w:p>
            <w:pPr>
              <w:tabs>
                <w:tab w:val="left" w:pos="54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sz w:val="21"/>
                <w:szCs w:val="21"/>
                <w:lang w:eastAsia="zh-CN"/>
              </w:rPr>
            </w:pPr>
            <w:r>
              <w:rPr>
                <w:rFonts w:hint="eastAsia"/>
                <w:sz w:val="21"/>
                <w:szCs w:val="21"/>
                <w:lang w:val="en-US" w:eastAsia="zh-CN"/>
              </w:rPr>
              <w:t>审核时</w:t>
            </w:r>
            <w:r>
              <w:rPr>
                <w:rFonts w:hint="eastAsia"/>
                <w:sz w:val="21"/>
                <w:szCs w:val="21"/>
              </w:rPr>
              <w:t>公司员工</w:t>
            </w:r>
            <w:r>
              <w:rPr>
                <w:rFonts w:hint="eastAsia"/>
                <w:sz w:val="21"/>
                <w:szCs w:val="21"/>
                <w:lang w:val="en-US" w:eastAsia="zh-CN"/>
              </w:rPr>
              <w:t>21</w:t>
            </w:r>
            <w:r>
              <w:rPr>
                <w:rFonts w:hint="eastAsia"/>
                <w:sz w:val="21"/>
                <w:szCs w:val="21"/>
              </w:rPr>
              <w:t>人，其中管理人员</w:t>
            </w:r>
            <w:r>
              <w:rPr>
                <w:rFonts w:hint="eastAsia"/>
                <w:sz w:val="21"/>
                <w:szCs w:val="21"/>
                <w:lang w:val="en-US" w:eastAsia="zh-CN"/>
              </w:rPr>
              <w:t>5</w:t>
            </w:r>
            <w:r>
              <w:rPr>
                <w:rFonts w:hint="eastAsia"/>
                <w:sz w:val="21"/>
                <w:szCs w:val="21"/>
              </w:rPr>
              <w:t>人，</w:t>
            </w:r>
            <w:r>
              <w:rPr>
                <w:rFonts w:hint="eastAsia"/>
                <w:sz w:val="21"/>
                <w:szCs w:val="21"/>
                <w:lang w:val="en-US" w:eastAsia="zh-CN"/>
              </w:rPr>
              <w:t>检测人员5人，采样人员6人，</w:t>
            </w:r>
            <w:r>
              <w:rPr>
                <w:rFonts w:hint="eastAsia"/>
                <w:sz w:val="21"/>
                <w:szCs w:val="21"/>
              </w:rPr>
              <w:t>满足</w:t>
            </w:r>
            <w:r>
              <w:rPr>
                <w:rFonts w:hint="eastAsia"/>
                <w:sz w:val="21"/>
                <w:szCs w:val="21"/>
                <w:lang w:val="en-US" w:eastAsia="zh-CN"/>
              </w:rPr>
              <w:t>检测服务</w:t>
            </w:r>
            <w:r>
              <w:rPr>
                <w:rFonts w:hint="eastAsia"/>
                <w:sz w:val="21"/>
                <w:szCs w:val="21"/>
              </w:rPr>
              <w:t>要求</w:t>
            </w:r>
            <w:r>
              <w:rPr>
                <w:rFonts w:hint="eastAsia"/>
                <w:sz w:val="21"/>
                <w:szCs w:val="21"/>
                <w:lang w:eastAsia="zh-CN"/>
              </w:rPr>
              <w:t>。</w:t>
            </w:r>
          </w:p>
          <w:p>
            <w:pPr>
              <w:spacing w:line="300" w:lineRule="exact"/>
              <w:rPr>
                <w:rFonts w:ascii="宋体" w:hAnsi="宋体"/>
                <w:b/>
                <w:sz w:val="21"/>
                <w:szCs w:val="21"/>
              </w:rPr>
            </w:pPr>
            <w:r>
              <w:rPr>
                <w:rFonts w:hint="eastAsia"/>
                <w:sz w:val="21"/>
                <w:szCs w:val="21"/>
                <w:lang w:val="en-US" w:eastAsia="zh-CN"/>
              </w:rPr>
              <w:t>审核时发现：</w:t>
            </w:r>
            <w:r>
              <w:rPr>
                <w:rFonts w:hint="eastAsia" w:ascii="Times New Roman" w:hAnsi="Times New Roman" w:cs="Times New Roman"/>
                <w:sz w:val="21"/>
                <w:szCs w:val="21"/>
                <w:lang w:val="en-US" w:eastAsia="zh-CN"/>
              </w:rPr>
              <w:t>部分检测人员对洗眼器的操作使用不清楚，已开具不符合进行整改。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30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公司拥有质谱室、色谱室、理化试验室等实验室，化学品库、危废库等储存场所</w:t>
            </w:r>
          </w:p>
          <w:p>
            <w:pPr>
              <w:spacing w:line="300" w:lineRule="exact"/>
              <w:rPr>
                <w:rFonts w:hint="eastAsia" w:cs="宋体"/>
                <w:szCs w:val="22"/>
                <w:lang w:val="en-US" w:eastAsia="zh-CN"/>
              </w:rPr>
            </w:pPr>
            <w:r>
              <w:rPr>
                <w:rFonts w:hint="eastAsia" w:ascii="Times New Roman" w:hAnsi="Times New Roman" w:cs="Times New Roman"/>
                <w:sz w:val="21"/>
                <w:szCs w:val="21"/>
                <w:lang w:val="en-US" w:eastAsia="zh-CN"/>
              </w:rPr>
              <w:t>实验设备：多套气质联用仪GC-MS、电感耦合等离子体光谱仪ICP-OES、气相色谱仪GC、原子吸收分光光度计AAS、火焰分光光度计、原子荧光分光光度计、恒温恒湿室、微生物实验室、外携采样设备等各类分析采样仪器。基础设施满足分析化验要求</w:t>
            </w:r>
            <w:r>
              <w:rPr>
                <w:rFonts w:hint="eastAsia" w:cs="宋体"/>
                <w:szCs w:val="22"/>
                <w:lang w:val="en-US" w:eastAsia="zh-CN"/>
              </w:rPr>
              <w:t>。</w:t>
            </w:r>
          </w:p>
          <w:p>
            <w:pPr>
              <w:spacing w:line="300" w:lineRule="exact"/>
              <w:rPr>
                <w:rFonts w:hint="eastAsia" w:cs="宋体"/>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公司有办公室、实验室场所，场所内有控制温湿度设备、照明设备、办公设备等为开展环境监测、公共卫生监测提供了适宜的运行环境。</w:t>
            </w: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运行环境舒适、干净，温湿度、照明等条件满足要求。</w:t>
            </w:r>
          </w:p>
          <w:p>
            <w:pPr>
              <w:spacing w:line="300" w:lineRule="exact"/>
              <w:rPr>
                <w:rFonts w:hint="eastAsia" w:ascii="Times New Roman" w:hAnsi="Times New Roman"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实验室有风速仪、生化培养箱、烟尘烟气测定义、红外分光测油仪、气相色谱仪、电子天平、压力蒸汽灭菌器、移液管、水银温度计、温湿度计等198台设备，检定/校准日期符合要求。</w:t>
            </w:r>
          </w:p>
          <w:p>
            <w:pPr>
              <w:spacing w:line="30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知识</w:t>
            </w:r>
          </w:p>
          <w:p>
            <w:pPr>
              <w:spacing w:line="240" w:lineRule="exact"/>
              <w:rPr>
                <w:rFonts w:hint="eastAsia"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cs="Times New Roman"/>
                <w:b w:val="0"/>
                <w:bCs/>
                <w:sz w:val="21"/>
                <w:szCs w:val="21"/>
                <w:lang w:val="en-US" w:eastAsia="zh-CN"/>
              </w:rPr>
              <w:t>与上年度无变化。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生活垃圾收集桶；</w:t>
            </w:r>
          </w:p>
          <w:p>
            <w:pPr>
              <w:spacing w:line="24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危废库</w:t>
            </w:r>
          </w:p>
          <w:p>
            <w:pPr>
              <w:spacing w:line="240" w:lineRule="exact"/>
              <w:rPr>
                <w:rFonts w:hint="eastAsia" w:ascii="宋体" w:hAnsi="宋体" w:cs="Times New Roman"/>
                <w:sz w:val="21"/>
                <w:szCs w:val="21"/>
                <w:lang w:val="en-US" w:eastAsia="zh-CN"/>
              </w:rPr>
            </w:pPr>
            <w:r>
              <w:rPr>
                <w:rFonts w:hint="eastAsia" w:ascii="宋体" w:hAnsi="宋体" w:cs="Times New Roman"/>
                <w:sz w:val="21"/>
                <w:szCs w:val="21"/>
                <w:lang w:val="en-US" w:eastAsia="zh-CN"/>
              </w:rPr>
              <w:t>检测废气收集罩；</w:t>
            </w:r>
          </w:p>
          <w:p>
            <w:pPr>
              <w:spacing w:line="240" w:lineRule="exact"/>
              <w:rPr>
                <w:rFonts w:hint="default" w:ascii="宋体" w:hAnsi="宋体" w:cs="Times New Roman"/>
                <w:sz w:val="21"/>
                <w:szCs w:val="21"/>
                <w:lang w:val="en-US" w:eastAsia="zh-CN"/>
              </w:rPr>
            </w:pPr>
            <w:r>
              <w:rPr>
                <w:rFonts w:hint="eastAsia" w:ascii="宋体" w:hAnsi="宋体" w:cs="Times New Roman"/>
                <w:sz w:val="21"/>
                <w:szCs w:val="21"/>
                <w:lang w:val="en-US" w:eastAsia="zh-CN"/>
              </w:rPr>
              <w:t>废液收集桶。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eastAsia" w:ascii="宋体" w:hAnsi="宋体"/>
                <w:b/>
                <w:sz w:val="21"/>
                <w:szCs w:val="21"/>
              </w:rPr>
            </w:pPr>
            <w:r>
              <w:rPr>
                <w:rFonts w:hint="eastAsia" w:ascii="宋体" w:hAnsi="宋体" w:cs="Times New Roman"/>
                <w:sz w:val="21"/>
                <w:szCs w:val="21"/>
                <w:lang w:val="en-US" w:eastAsia="zh-CN"/>
              </w:rPr>
              <w:t>工作服、绝缘鞋、警示牌、灭火器、手套、疫情期间防护口罩、灭火器、静电消除器等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管理方针：安全为天  质量为先  美化环境  守法诚信  创新发展  顾客满意。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sz w:val="21"/>
                <w:szCs w:val="21"/>
                <w:lang w:val="en-US" w:eastAsia="zh-CN"/>
              </w:rPr>
            </w:pPr>
            <w:r>
              <w:rPr>
                <w:rFonts w:hint="eastAsia" w:ascii="宋体" w:hAnsi="宋体" w:cs="Times New Roman"/>
                <w:sz w:val="21"/>
                <w:szCs w:val="21"/>
                <w:lang w:val="en-US" w:eastAsia="zh-CN"/>
              </w:rPr>
              <w:t>管理方针与企业的经营宗旨相适应，协调；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
                <w:sz w:val="21"/>
                <w:szCs w:val="21"/>
              </w:rPr>
            </w:pPr>
            <w:r>
              <w:rPr>
                <w:rFonts w:hint="eastAsia" w:ascii="宋体" w:hAnsi="宋体" w:cs="Times New Roman"/>
                <w:sz w:val="21"/>
                <w:szCs w:val="21"/>
                <w:lang w:val="en-US" w:eastAsia="zh-CN"/>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hint="eastAsia" w:ascii="宋体" w:hAnsi="宋体" w:cs="Times New Roman"/>
                <w:sz w:val="21"/>
                <w:szCs w:val="21"/>
                <w:lang w:val="en-US" w:eastAsia="zh-CN"/>
              </w:rPr>
            </w:pPr>
            <w:r>
              <w:rPr>
                <w:rFonts w:hint="eastAsia" w:ascii="宋体" w:hAnsi="宋体"/>
                <w:b/>
                <w:sz w:val="21"/>
                <w:szCs w:val="21"/>
              </w:rPr>
              <w:t>内部沟通的情况：内部沟通方式：</w:t>
            </w:r>
            <w:r>
              <w:rPr>
                <w:rFonts w:hint="eastAsia" w:ascii="宋体" w:hAnsi="宋体" w:cs="Times New Roman"/>
                <w:sz w:val="21"/>
                <w:szCs w:val="21"/>
                <w:lang w:val="en-US" w:eastAsia="zh-CN"/>
              </w:rPr>
              <w:t>会议、文件、面谈、电话沟通等方式进行内部沟通</w:t>
            </w:r>
          </w:p>
          <w:p>
            <w:pPr>
              <w:spacing w:line="240" w:lineRule="exact"/>
              <w:rPr>
                <w:rFonts w:ascii="宋体" w:hAnsi="宋体"/>
                <w:b/>
                <w:sz w:val="21"/>
                <w:szCs w:val="21"/>
              </w:rPr>
            </w:pPr>
          </w:p>
          <w:p>
            <w:pPr>
              <w:spacing w:line="240" w:lineRule="exact"/>
              <w:rPr>
                <w:rFonts w:hint="default" w:ascii="宋体" w:hAnsi="宋体" w:cs="Times New Roman"/>
                <w:sz w:val="21"/>
                <w:szCs w:val="21"/>
                <w:lang w:val="en-US" w:eastAsia="zh-CN"/>
              </w:rPr>
            </w:pPr>
            <w:r>
              <w:rPr>
                <w:rFonts w:hint="eastAsia" w:ascii="宋体" w:hAnsi="宋体"/>
                <w:b/>
                <w:sz w:val="21"/>
                <w:szCs w:val="21"/>
              </w:rPr>
              <w:t>内部沟通的效果：</w:t>
            </w:r>
            <w:r>
              <w:rPr>
                <w:rFonts w:hint="eastAsia" w:ascii="宋体" w:hAnsi="宋体" w:cs="Times New Roman"/>
                <w:sz w:val="21"/>
                <w:szCs w:val="21"/>
                <w:lang w:val="en-US" w:eastAsia="zh-CN"/>
              </w:rPr>
              <w:t>沟通通畅。</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r>
              <w:rPr>
                <w:rFonts w:hint="eastAsia" w:ascii="宋体" w:hAnsi="宋体" w:cs="Times New Roman"/>
                <w:sz w:val="21"/>
                <w:szCs w:val="21"/>
                <w:lang w:val="en-US" w:eastAsia="zh-CN"/>
              </w:rPr>
              <w:t>进行满意度调查。</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Times New Roman"/>
                <w:sz w:val="21"/>
                <w:szCs w:val="21"/>
                <w:lang w:val="en-US" w:eastAsia="zh-CN"/>
              </w:rPr>
              <w:t>沟通较为顺畅。</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cs="Times New Roman"/>
                <w:sz w:val="21"/>
                <w:szCs w:val="21"/>
                <w:lang w:val="en-US" w:eastAsia="zh-CN"/>
              </w:rPr>
              <w:t>外部沟通：电话、文件、面谈、传真等，主要与顾客、供方、上级主管部门的沟通，各项沟通较为顺畅。</w:t>
            </w:r>
          </w:p>
          <w:p>
            <w:pPr>
              <w:spacing w:line="240" w:lineRule="exact"/>
              <w:rPr>
                <w:rFonts w:ascii="宋体" w:hAnsi="宋体"/>
                <w:b/>
                <w:sz w:val="21"/>
                <w:szCs w:val="21"/>
              </w:rPr>
            </w:pPr>
          </w:p>
          <w:p>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Times New Roman"/>
                <w:sz w:val="21"/>
                <w:szCs w:val="21"/>
                <w:lang w:val="en-US" w:eastAsia="zh-CN"/>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cs="Times New Roman"/>
                <w:sz w:val="21"/>
                <w:szCs w:val="21"/>
                <w:lang w:val="en-US" w:eastAsia="zh-CN"/>
              </w:rPr>
              <w:t>向管理层反映员工职业健康安全管理方面的要求，对事件的调查、处理，职工劳动防护的改善事宜进行协商交流；参与职业安全健康方针、目标、指标、管理方案的制定工作，提出合理化建议。</w:t>
            </w:r>
          </w:p>
          <w:p>
            <w:pPr>
              <w:rPr>
                <w:rFonts w:hint="default"/>
                <w:lang w:val="en-US" w:eastAsia="zh-CN"/>
              </w:rPr>
            </w:pPr>
            <w:r>
              <w:rPr>
                <w:rFonts w:hint="eastAsia" w:ascii="宋体" w:hAnsi="宋体" w:cs="Times New Roman"/>
                <w:sz w:val="21"/>
                <w:szCs w:val="21"/>
                <w:lang w:val="en-US" w:eastAsia="zh-CN"/>
              </w:rPr>
              <w:t>疫情期间企业按照地方政府要求，配置防疫物资，做好个人防护，工作场所定期消毒</w:t>
            </w:r>
            <w:r>
              <w:rPr>
                <w:rFonts w:hint="eastAsia"/>
                <w:lang w:val="en-US" w:eastAsia="zh-CN"/>
              </w:rPr>
              <w:t>。</w:t>
            </w:r>
          </w:p>
          <w:p>
            <w:pPr>
              <w:keepNext w:val="0"/>
              <w:keepLines w:val="0"/>
              <w:pageBreakBefore w:val="0"/>
              <w:kinsoku/>
              <w:wordWrap/>
              <w:overflowPunct/>
              <w:topLinePunct w:val="0"/>
              <w:autoSpaceDE/>
              <w:autoSpaceDN/>
              <w:bidi w:val="0"/>
              <w:adjustRightInd/>
              <w:snapToGrid/>
              <w:spacing w:line="320" w:lineRule="exact"/>
              <w:textAlignment w:val="auto"/>
              <w:rPr>
                <w:rFonts w:ascii="宋体" w:hAnsi="宋体"/>
                <w:b/>
                <w:sz w:val="21"/>
                <w:szCs w:val="21"/>
              </w:rPr>
            </w:pP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cs="Times New Roman"/>
                <w:sz w:val="21"/>
                <w:szCs w:val="21"/>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业务流程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接受委托---合同评审---由采样中心现场采样---样品管理（留样和发放）---检验室检测---报告出具---审核批准---发放</w:t>
            </w:r>
            <w:r>
              <w:rPr>
                <w:rFonts w:hint="eastAsia" w:ascii="宋体" w:hAnsi="宋体" w:cs="Times New Roman"/>
                <w:color w:val="auto"/>
                <w:kern w:val="2"/>
                <w:sz w:val="21"/>
                <w:szCs w:val="21"/>
                <w:lang w:val="en-US" w:eastAsia="zh-CN" w:bidi="ar-SA"/>
              </w:rPr>
              <w:t>——客户信息维护跟踪、客户满意度调查。</w:t>
            </w:r>
          </w:p>
          <w:p>
            <w:pPr>
              <w:pStyle w:val="15"/>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firstLineChars="200"/>
              <w:textAlignment w:val="auto"/>
              <w:outlineLvl w:val="9"/>
              <w:rPr>
                <w:rFonts w:hint="eastAsia" w:ascii="Times New Roman" w:hAnsi="Times New Roman" w:eastAsia="宋体" w:cs="Times New Roman"/>
                <w:color w:val="auto"/>
                <w:kern w:val="2"/>
                <w:sz w:val="21"/>
                <w:szCs w:val="21"/>
                <w:highlight w:val="yellow"/>
                <w:lang w:val="en-GB" w:eastAsia="zh-CN" w:bidi="ar-SA"/>
              </w:rPr>
            </w:pPr>
            <w:r>
              <w:rPr>
                <w:rFonts w:hint="eastAsia" w:ascii="宋体" w:hAnsi="宋体"/>
                <w:color w:val="auto"/>
                <w:kern w:val="2"/>
                <w:sz w:val="21"/>
                <w:szCs w:val="21"/>
                <w:lang w:bidi="ar-SA"/>
              </w:rPr>
              <w:t>采购过程控制（</w:t>
            </w:r>
            <w:r>
              <w:rPr>
                <w:rFonts w:hint="eastAsia" w:ascii="宋体" w:hAnsi="宋体"/>
                <w:color w:val="auto"/>
                <w:kern w:val="2"/>
                <w:sz w:val="21"/>
                <w:szCs w:val="21"/>
                <w:lang w:val="en-US" w:eastAsia="zh-CN" w:bidi="ar-SA"/>
              </w:rPr>
              <w:t>暂无</w:t>
            </w:r>
            <w:r>
              <w:rPr>
                <w:rFonts w:hint="eastAsia" w:ascii="宋体" w:hAnsi="宋体"/>
                <w:color w:val="auto"/>
                <w:kern w:val="2"/>
                <w:sz w:val="21"/>
                <w:szCs w:val="21"/>
                <w:lang w:bidi="ar-SA"/>
              </w:rPr>
              <w:t>外包过程）：</w:t>
            </w:r>
            <w:r>
              <w:rPr>
                <w:rFonts w:hint="eastAsia" w:ascii="宋体" w:hAnsi="宋体"/>
                <w:color w:val="auto"/>
                <w:kern w:val="2"/>
                <w:sz w:val="21"/>
                <w:szCs w:val="21"/>
                <w:lang w:val="en-US" w:eastAsia="zh-CN" w:bidi="ar-SA"/>
              </w:rPr>
              <w:t>采购计划</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采购产品</w:t>
            </w:r>
            <w:r>
              <w:rPr>
                <w:rFonts w:hint="eastAsia" w:ascii="宋体" w:hAnsi="宋体"/>
                <w:color w:val="auto"/>
                <w:kern w:val="2"/>
                <w:sz w:val="21"/>
                <w:szCs w:val="21"/>
                <w:lang w:eastAsia="zh-CN" w:bidi="ar-SA"/>
              </w:rPr>
              <w:t>——</w:t>
            </w:r>
            <w:r>
              <w:rPr>
                <w:rFonts w:hint="eastAsia" w:ascii="宋体" w:hAnsi="宋体"/>
                <w:color w:val="auto"/>
                <w:kern w:val="2"/>
                <w:sz w:val="21"/>
                <w:szCs w:val="21"/>
                <w:lang w:bidi="ar-SA"/>
              </w:rPr>
              <w:t>质量</w:t>
            </w:r>
            <w:r>
              <w:rPr>
                <w:rFonts w:hint="eastAsia" w:ascii="宋体" w:hAnsi="宋体"/>
                <w:color w:val="auto"/>
                <w:kern w:val="2"/>
                <w:sz w:val="21"/>
                <w:szCs w:val="21"/>
                <w:lang w:val="en-US" w:eastAsia="zh-CN" w:bidi="ar-SA"/>
              </w:rPr>
              <w:t>验收</w:t>
            </w:r>
            <w:r>
              <w:rPr>
                <w:rFonts w:hint="eastAsia" w:ascii="宋体" w:hAnsi="宋体"/>
                <w:color w:val="auto"/>
                <w:kern w:val="2"/>
                <w:sz w:val="21"/>
                <w:szCs w:val="21"/>
                <w:lang w:eastAsia="zh-CN" w:bidi="ar-SA"/>
              </w:rPr>
              <w:t>——</w:t>
            </w:r>
            <w:r>
              <w:rPr>
                <w:rFonts w:hint="eastAsia" w:ascii="宋体" w:hAnsi="宋体"/>
                <w:color w:val="auto"/>
                <w:kern w:val="2"/>
                <w:sz w:val="21"/>
                <w:szCs w:val="21"/>
                <w:lang w:val="en-US" w:eastAsia="zh-CN" w:bidi="ar-SA"/>
              </w:rPr>
              <w:t>对</w:t>
            </w:r>
            <w:r>
              <w:rPr>
                <w:rFonts w:hint="eastAsia" w:ascii="宋体" w:hAnsi="宋体"/>
                <w:color w:val="auto"/>
                <w:kern w:val="2"/>
                <w:sz w:val="21"/>
                <w:szCs w:val="21"/>
                <w:lang w:bidi="ar-SA"/>
              </w:rPr>
              <w:t>采购供方进行评价，保证采购产品</w:t>
            </w:r>
            <w:r>
              <w:rPr>
                <w:rFonts w:hint="eastAsia" w:ascii="宋体" w:hAnsi="宋体"/>
                <w:color w:val="auto"/>
                <w:kern w:val="2"/>
                <w:sz w:val="21"/>
                <w:szCs w:val="21"/>
                <w:lang w:val="en-US" w:eastAsia="zh-CN" w:bidi="ar-SA"/>
              </w:rPr>
              <w:t>/服务</w:t>
            </w:r>
            <w:r>
              <w:rPr>
                <w:rFonts w:hint="eastAsia" w:ascii="宋体" w:hAnsi="宋体"/>
                <w:color w:val="auto"/>
                <w:kern w:val="2"/>
                <w:sz w:val="21"/>
                <w:szCs w:val="21"/>
                <w:lang w:bidi="ar-SA"/>
              </w:rPr>
              <w:t>的质量符合公司要求</w:t>
            </w:r>
            <w:r>
              <w:rPr>
                <w:rFonts w:hint="eastAsia" w:ascii="Times New Roman" w:hAnsi="Times New Roman" w:eastAsia="宋体" w:cs="Times New Roman"/>
                <w:color w:val="auto"/>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highlight w:val="none"/>
                <w:lang w:val="en-US" w:eastAsia="zh-CN" w:bidi="ar-SA"/>
              </w:rPr>
              <w:t>生产和服务提供过程控制：合同</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策划</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组</w:t>
            </w:r>
            <w:r>
              <w:rPr>
                <w:rFonts w:hint="eastAsia" w:ascii="宋体" w:hAnsi="宋体" w:eastAsia="宋体" w:cs="Times New Roman"/>
                <w:color w:val="auto"/>
                <w:kern w:val="2"/>
                <w:sz w:val="21"/>
                <w:szCs w:val="21"/>
                <w:lang w:val="en-US" w:eastAsia="zh-CN" w:bidi="ar-SA"/>
              </w:rPr>
              <w:t>织检测人员检测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记录数据</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数据整理</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编制报告</w:t>
            </w:r>
            <w:r>
              <w:rPr>
                <w:rFonts w:hint="eastAsia" w:ascii="宋体" w:hAnsi="宋体" w:cs="Times New Roman"/>
                <w:color w:val="auto"/>
                <w:kern w:val="2"/>
                <w:sz w:val="21"/>
                <w:szCs w:val="21"/>
                <w:lang w:val="en-US" w:eastAsia="zh-CN" w:bidi="ar-SA"/>
              </w:rPr>
              <w:t>——审批签发——客户</w:t>
            </w:r>
            <w:r>
              <w:rPr>
                <w:rFonts w:hint="eastAsia" w:ascii="宋体" w:hAnsi="宋体" w:eastAsia="宋体" w:cs="Times New Roman"/>
                <w:color w:val="auto"/>
                <w:kern w:val="2"/>
                <w:sz w:val="21"/>
                <w:szCs w:val="21"/>
                <w:lang w:val="en-US" w:eastAsia="zh-CN" w:bidi="ar-SA"/>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监测设备控制：建立了监测设备台帐</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检测仪器检定证书，均在有效期内。监视设备控制符合要求。</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20"/>
              <w:textAlignment w:val="auto"/>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GB" w:eastAsia="zh-CN" w:bidi="ar-SA"/>
              </w:rPr>
              <w:t>产品和服务的放行：</w:t>
            </w:r>
            <w:r>
              <w:rPr>
                <w:rFonts w:hint="eastAsia" w:ascii="宋体" w:hAnsi="宋体" w:eastAsia="宋体" w:cs="Times New Roman"/>
                <w:color w:val="auto"/>
                <w:kern w:val="2"/>
                <w:sz w:val="21"/>
                <w:szCs w:val="21"/>
                <w:lang w:val="en-US" w:eastAsia="zh-CN" w:bidi="ar-SA"/>
              </w:rPr>
              <w:t>关键控制点</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过程检验</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报告验收。经查符合要求。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b/>
                <w:sz w:val="21"/>
                <w:szCs w:val="21"/>
              </w:rPr>
            </w:pPr>
            <w:r>
              <w:rPr>
                <w:rFonts w:hint="eastAsia" w:ascii="宋体" w:hAnsi="宋体" w:eastAsia="宋体" w:cs="Times New Roman"/>
                <w:color w:val="auto"/>
                <w:kern w:val="2"/>
                <w:sz w:val="21"/>
                <w:szCs w:val="21"/>
                <w:lang w:val="en-GB" w:eastAsia="zh-CN" w:bidi="ar-SA"/>
              </w:rPr>
              <w:t>产品销售过程：</w:t>
            </w:r>
            <w:r>
              <w:rPr>
                <w:rFonts w:hint="eastAsia" w:ascii="宋体" w:hAnsi="宋体" w:eastAsia="宋体" w:cs="Times New Roman"/>
                <w:color w:val="auto"/>
                <w:kern w:val="2"/>
                <w:sz w:val="21"/>
                <w:szCs w:val="21"/>
                <w:lang w:val="en-US" w:eastAsia="zh-CN" w:bidi="ar-SA"/>
              </w:rPr>
              <w:t>公司主要提供的产品和服务为检测服务</w:t>
            </w:r>
            <w:r>
              <w:rPr>
                <w:rFonts w:hint="eastAsia" w:ascii="宋体" w:hAnsi="宋体" w:cs="Times New Roman"/>
                <w:color w:val="auto"/>
                <w:kern w:val="2"/>
                <w:sz w:val="21"/>
                <w:szCs w:val="21"/>
                <w:lang w:val="en-US" w:eastAsia="zh-CN" w:bidi="ar-SA"/>
              </w:rPr>
              <w:t>。</w:t>
            </w:r>
            <w:r>
              <w:rPr>
                <w:rFonts w:hint="eastAsia" w:ascii="宋体" w:hAnsi="宋体" w:eastAsia="宋体" w:cs="Times New Roman"/>
                <w:color w:val="auto"/>
                <w:kern w:val="2"/>
                <w:sz w:val="21"/>
                <w:szCs w:val="21"/>
                <w:lang w:val="en-US" w:eastAsia="zh-CN" w:bidi="ar-SA"/>
              </w:rPr>
              <w:t>合同</w:t>
            </w:r>
            <w:r>
              <w:rPr>
                <w:rFonts w:hint="eastAsia" w:ascii="宋体" w:hAnsi="宋体" w:cs="Times New Roman"/>
                <w:color w:val="auto"/>
                <w:kern w:val="2"/>
                <w:sz w:val="21"/>
                <w:szCs w:val="21"/>
                <w:lang w:val="en-US" w:eastAsia="zh-CN" w:bidi="ar-SA"/>
              </w:rPr>
              <w:t>——检测报告——客户——回访</w:t>
            </w:r>
            <w:r>
              <w:rPr>
                <w:rFonts w:hint="eastAsia" w:ascii="宋体" w:hAnsi="宋体" w:eastAsia="宋体" w:cs="Times New Roman"/>
                <w:color w:val="auto"/>
                <w:kern w:val="2"/>
                <w:sz w:val="21"/>
                <w:szCs w:val="21"/>
                <w:lang w:val="en-US" w:eastAsia="zh-CN" w:bidi="ar-SA"/>
              </w:rPr>
              <w:t>。公司</w:t>
            </w:r>
            <w:r>
              <w:rPr>
                <w:rFonts w:hint="eastAsia" w:ascii="宋体" w:hAnsi="宋体" w:eastAsia="宋体" w:cs="Times New Roman"/>
                <w:color w:val="auto"/>
                <w:kern w:val="2"/>
                <w:sz w:val="21"/>
                <w:szCs w:val="21"/>
                <w:lang w:val="en-GB" w:eastAsia="zh-CN" w:bidi="ar-SA"/>
              </w:rPr>
              <w:t>销售过程基本符合要求。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eastAsia="宋体" w:cs="Times New Roman"/>
                <w:color w:val="auto"/>
                <w:kern w:val="2"/>
                <w:sz w:val="21"/>
                <w:szCs w:val="21"/>
                <w:lang w:val="en-US" w:eastAsia="zh-CN" w:bidi="ar-SA"/>
              </w:rPr>
              <w:t>向顾客提供</w:t>
            </w:r>
            <w:r>
              <w:rPr>
                <w:rFonts w:hint="eastAsia" w:ascii="宋体" w:hAnsi="宋体" w:cs="Times New Roman"/>
                <w:color w:val="auto"/>
                <w:kern w:val="2"/>
                <w:sz w:val="21"/>
                <w:szCs w:val="21"/>
                <w:lang w:val="en-US" w:eastAsia="zh-CN" w:bidi="ar-SA"/>
              </w:rPr>
              <w:t>合格的</w:t>
            </w:r>
            <w:r>
              <w:rPr>
                <w:rFonts w:hint="eastAsia" w:ascii="宋体" w:hAnsi="宋体" w:eastAsia="宋体" w:cs="Times New Roman"/>
                <w:color w:val="auto"/>
                <w:kern w:val="2"/>
                <w:sz w:val="21"/>
                <w:szCs w:val="21"/>
                <w:lang w:val="en-US" w:eastAsia="zh-CN" w:bidi="ar-SA"/>
              </w:rPr>
              <w:t>检测报告，满足标准要求。</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r>
              <w:rPr>
                <w:rFonts w:hint="eastAsia" w:ascii="宋体" w:hAnsi="宋体" w:cs="Times New Roman"/>
                <w:color w:val="auto"/>
                <w:kern w:val="2"/>
                <w:sz w:val="21"/>
                <w:szCs w:val="21"/>
                <w:lang w:val="en-US" w:eastAsia="zh-CN" w:bidi="ar-SA"/>
              </w:rPr>
              <w:t>见检测报告及原始记录扫描件。</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2019年初次审至本次现场审核期间无地方政府抽检</w:t>
            </w:r>
            <w:r>
              <w:rPr>
                <w:rFonts w:hint="eastAsia" w:ascii="宋体" w:hAnsi="宋体" w:cs="Times New Roman"/>
                <w:color w:val="auto"/>
                <w:kern w:val="2"/>
                <w:sz w:val="21"/>
                <w:szCs w:val="21"/>
                <w:lang w:val="en-US" w:eastAsia="zh-CN" w:bidi="ar-SA"/>
              </w:rPr>
              <w:t>。</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hint="eastAsia" w:ascii="宋体" w:hAnsi="宋体" w:eastAsia="宋体"/>
                <w:b/>
                <w:sz w:val="21"/>
                <w:szCs w:val="21"/>
                <w:lang w:val="en-US" w:eastAsia="zh-CN"/>
              </w:rPr>
            </w:pPr>
            <w:r>
              <w:rPr>
                <w:rFonts w:hint="eastAsia" w:ascii="宋体" w:hAnsi="宋体"/>
                <w:b/>
                <w:sz w:val="21"/>
                <w:szCs w:val="21"/>
              </w:rPr>
              <w:t>（附相关证据）：</w:t>
            </w:r>
            <w:r>
              <w:rPr>
                <w:rFonts w:hint="eastAsia" w:ascii="宋体" w:hAnsi="宋体"/>
                <w:b/>
                <w:sz w:val="21"/>
                <w:szCs w:val="21"/>
                <w:lang w:val="en-US" w:eastAsia="zh-CN"/>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cs="Times New Roman"/>
                <w:color w:val="auto"/>
                <w:kern w:val="2"/>
                <w:sz w:val="21"/>
                <w:szCs w:val="21"/>
                <w:lang w:val="en-US" w:eastAsia="zh-CN" w:bidi="ar-SA"/>
              </w:rPr>
              <w:t>根据</w:t>
            </w:r>
            <w:r>
              <w:rPr>
                <w:rFonts w:hint="eastAsia" w:ascii="宋体" w:hAnsi="宋体" w:eastAsia="宋体" w:cs="Times New Roman"/>
                <w:color w:val="auto"/>
                <w:kern w:val="2"/>
                <w:sz w:val="21"/>
                <w:szCs w:val="21"/>
                <w:lang w:val="en-US" w:eastAsia="zh-CN" w:bidi="ar-SA"/>
              </w:rPr>
              <w:t>《不合格品控制程序》要求。在原材料/采购物资进货检验中出现的不合格可进行退货处理，检测、数据处理、出具报告等环节均有复检以确保合格。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p>
            <w:pPr>
              <w:spacing w:line="240" w:lineRule="exact"/>
              <w:rPr>
                <w:rFonts w:hint="default" w:ascii="宋体" w:hAnsi="宋体"/>
                <w:b/>
                <w:sz w:val="21"/>
                <w:szCs w:val="21"/>
                <w:lang w:val="en-US"/>
              </w:rPr>
            </w:pPr>
            <w:r>
              <w:rPr>
                <w:rFonts w:hint="eastAsia" w:ascii="宋体" w:hAnsi="宋体" w:eastAsia="宋体" w:cs="Times New Roman"/>
                <w:color w:val="auto"/>
                <w:kern w:val="2"/>
                <w:sz w:val="21"/>
                <w:szCs w:val="21"/>
                <w:lang w:val="en-US" w:eastAsia="zh-CN" w:bidi="ar-SA"/>
              </w:rPr>
              <w:t>提供重要环境因素清单6项（火灾、固体废弃物排放、噪声、废水、能源、资源消耗、危险化学品的泄漏），制定了管理方案，通过设定目标及指标，制定方案计划，落实责任部门和责任人、完成日期、经费预算。并对方案的措施实施情况进行评审和验收</w:t>
            </w:r>
            <w:r>
              <w:rPr>
                <w:rFonts w:hint="eastAsia" w:ascii="宋体" w:hAnsi="宋体" w:cs="Times New Roman"/>
                <w:color w:val="auto"/>
                <w:kern w:val="2"/>
                <w:sz w:val="21"/>
                <w:szCs w:val="21"/>
                <w:lang w:val="en-US" w:eastAsia="zh-CN" w:bidi="ar-SA"/>
              </w:rPr>
              <w:t>，达到预期目的。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ind w:left="0" w:leftChars="0" w:firstLine="0" w:firstLineChars="0"/>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widowControl w:val="0"/>
              <w:numPr>
                <w:ilvl w:val="0"/>
                <w:numId w:val="0"/>
              </w:numPr>
              <w:spacing w:line="240" w:lineRule="exact"/>
              <w:jc w:val="both"/>
              <w:rPr>
                <w:rFonts w:hint="eastAsia" w:ascii="宋体" w:hAnsi="宋体"/>
                <w:b/>
                <w:sz w:val="21"/>
                <w:szCs w:val="21"/>
              </w:rPr>
            </w:pPr>
          </w:p>
          <w:p>
            <w:pPr>
              <w:spacing w:line="240" w:lineRule="exact"/>
              <w:rPr>
                <w:rFonts w:hint="eastAsia" w:ascii="宋体" w:hAnsi="宋体"/>
                <w:b/>
                <w:sz w:val="21"/>
                <w:szCs w:val="21"/>
              </w:rPr>
            </w:pPr>
            <w:r>
              <w:rPr>
                <w:rFonts w:hint="eastAsia" w:ascii="宋体" w:hAnsi="宋体" w:eastAsia="宋体" w:cs="Times New Roman"/>
                <w:color w:val="auto"/>
                <w:kern w:val="2"/>
                <w:sz w:val="21"/>
                <w:szCs w:val="21"/>
                <w:lang w:val="en-US" w:eastAsia="zh-CN" w:bidi="ar-SA"/>
              </w:rPr>
              <w:t>重大危险源控制清单5项，包括火灾、触电、疫情期间病毒感染等，控制措施：制定了管理方案，通过设定目标及指标，制定方案计划，落实责任部门和责任人、完成日期、经费预算。并对方案的措施实施情况进行评审和验收</w:t>
            </w:r>
            <w:r>
              <w:rPr>
                <w:rFonts w:hint="eastAsia" w:ascii="宋体" w:hAnsi="宋体" w:cs="Times New Roman"/>
                <w:color w:val="auto"/>
                <w:kern w:val="2"/>
                <w:sz w:val="21"/>
                <w:szCs w:val="21"/>
                <w:lang w:val="en-US" w:eastAsia="zh-CN" w:bidi="ar-SA"/>
              </w:rPr>
              <w:t>，达到预期目的。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widowControl w:val="0"/>
              <w:numPr>
                <w:ilvl w:val="0"/>
                <w:numId w:val="0"/>
              </w:numPr>
              <w:spacing w:line="240" w:lineRule="exact"/>
              <w:jc w:val="both"/>
              <w:rPr>
                <w:rFonts w:hint="eastAsia" w:ascii="宋体" w:hAnsi="宋体" w:cs="Times New Roman"/>
                <w:b w:val="0"/>
                <w:bCs/>
                <w:sz w:val="21"/>
                <w:szCs w:val="21"/>
              </w:rPr>
            </w:pPr>
            <w:r>
              <w:rPr>
                <w:rFonts w:hint="eastAsia" w:ascii="宋体" w:hAnsi="宋体" w:cs="Times New Roman"/>
                <w:b w:val="0"/>
                <w:bCs/>
                <w:sz w:val="21"/>
                <w:szCs w:val="21"/>
              </w:rPr>
              <w:t>策划有《应急准备与响应控制程序》。</w:t>
            </w:r>
          </w:p>
          <w:p>
            <w:pPr>
              <w:widowControl w:val="0"/>
              <w:numPr>
                <w:ilvl w:val="0"/>
                <w:numId w:val="0"/>
              </w:numPr>
              <w:spacing w:line="240" w:lineRule="exact"/>
              <w:jc w:val="both"/>
              <w:rPr>
                <w:rFonts w:hint="eastAsia" w:ascii="宋体" w:hAnsi="宋体" w:cs="Times New Roman"/>
                <w:b w:val="0"/>
                <w:bCs/>
                <w:sz w:val="21"/>
                <w:szCs w:val="21"/>
                <w:lang w:val="en-US" w:eastAsia="zh-CN"/>
              </w:rPr>
            </w:pPr>
            <w:r>
              <w:rPr>
                <w:rFonts w:hint="eastAsia" w:ascii="宋体" w:hAnsi="宋体" w:cs="Times New Roman"/>
                <w:b w:val="0"/>
                <w:bCs/>
                <w:sz w:val="21"/>
                <w:szCs w:val="21"/>
                <w:lang w:val="en-US" w:eastAsia="zh-CN"/>
              </w:rPr>
              <w:t>2020年共进行3次应急预案的演练，抽查机械伤害/高空坠落事故应急演练记录，包含参加人员、时间（2020年7月25日）、地点、记录人、应急预案的适宜性评审，有评审人员签字，符合要求。</w:t>
            </w:r>
          </w:p>
          <w:p>
            <w:pPr>
              <w:widowControl w:val="0"/>
              <w:numPr>
                <w:ilvl w:val="0"/>
                <w:numId w:val="0"/>
              </w:numPr>
              <w:spacing w:line="240" w:lineRule="exact"/>
              <w:jc w:val="both"/>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cs="Times New Roman"/>
                <w:b w:val="0"/>
                <w:bCs/>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widowControl w:val="0"/>
              <w:numPr>
                <w:ilvl w:val="0"/>
                <w:numId w:val="0"/>
              </w:numPr>
              <w:spacing w:line="240" w:lineRule="exact"/>
              <w:jc w:val="both"/>
              <w:rPr>
                <w:rFonts w:hint="default" w:ascii="宋体" w:hAnsi="宋体" w:cs="Times New Roman"/>
                <w:b w:val="0"/>
                <w:bCs/>
                <w:sz w:val="21"/>
                <w:szCs w:val="21"/>
                <w:lang w:val="en-US" w:eastAsia="zh-CN"/>
              </w:rPr>
            </w:pPr>
            <w:r>
              <w:rPr>
                <w:rFonts w:hint="eastAsia" w:ascii="宋体" w:hAnsi="宋体" w:cs="Times New Roman"/>
                <w:b w:val="0"/>
                <w:bCs/>
                <w:sz w:val="21"/>
                <w:szCs w:val="21"/>
                <w:lang w:val="en-US" w:eastAsia="zh-CN"/>
              </w:rPr>
              <w:t>公司设有化学品库，实行双人双锁管理，存有少量易制毒药剂，有台账、有领用记录等，符合要求。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left="105" w:hanging="105" w:hangingChars="50"/>
              <w:rPr>
                <w:rFonts w:hint="eastAsia" w:ascii="宋体" w:hAnsi="宋体"/>
                <w:b/>
                <w:sz w:val="21"/>
                <w:szCs w:val="21"/>
              </w:rPr>
            </w:pPr>
          </w:p>
          <w:p>
            <w:pPr>
              <w:spacing w:line="240" w:lineRule="exact"/>
              <w:ind w:firstLine="105" w:firstLineChars="50"/>
              <w:rPr>
                <w:rFonts w:ascii="宋体" w:hAnsi="宋体"/>
                <w:b/>
                <w:sz w:val="21"/>
                <w:szCs w:val="21"/>
              </w:rPr>
            </w:pPr>
            <w:r>
              <w:rPr>
                <w:rFonts w:hint="eastAsia"/>
                <w:sz w:val="21"/>
                <w:szCs w:val="21"/>
              </w:rPr>
              <w:t>提供了文件化可分解的目标、指标，建立的管理目标符合标准要求，</w:t>
            </w:r>
            <w:r>
              <w:rPr>
                <w:rFonts w:hint="eastAsia"/>
                <w:sz w:val="21"/>
                <w:szCs w:val="21"/>
                <w:lang w:val="en-US" w:eastAsia="zh-CN"/>
              </w:rPr>
              <w:t>企业定期进行</w:t>
            </w:r>
            <w:r>
              <w:rPr>
                <w:rFonts w:hint="eastAsia"/>
                <w:sz w:val="21"/>
                <w:szCs w:val="21"/>
              </w:rPr>
              <w:t>考核，查看201</w:t>
            </w:r>
            <w:r>
              <w:rPr>
                <w:rFonts w:hint="eastAsia"/>
                <w:sz w:val="21"/>
                <w:szCs w:val="21"/>
                <w:lang w:val="en-US" w:eastAsia="zh-CN"/>
              </w:rPr>
              <w:t>9</w:t>
            </w:r>
            <w:r>
              <w:rPr>
                <w:rFonts w:hint="eastAsia"/>
                <w:sz w:val="21"/>
                <w:szCs w:val="21"/>
              </w:rPr>
              <w:t>年目标</w:t>
            </w:r>
            <w:r>
              <w:rPr>
                <w:rFonts w:hint="eastAsia"/>
                <w:sz w:val="21"/>
                <w:szCs w:val="21"/>
                <w:lang w:val="en-US" w:eastAsia="zh-CN"/>
              </w:rPr>
              <w:t>已</w:t>
            </w:r>
            <w:r>
              <w:rPr>
                <w:rFonts w:hint="eastAsia"/>
                <w:sz w:val="21"/>
                <w:szCs w:val="21"/>
              </w:rPr>
              <w:t>完成。</w:t>
            </w:r>
            <w:r>
              <w:rPr>
                <w:rFonts w:hint="eastAsia"/>
                <w:sz w:val="21"/>
                <w:szCs w:val="21"/>
                <w:lang w:val="en-US" w:eastAsia="zh-CN"/>
              </w:rPr>
              <w:t>2020年目标</w:t>
            </w:r>
            <w:r>
              <w:rPr>
                <w:rFonts w:hint="eastAsia"/>
                <w:sz w:val="21"/>
                <w:szCs w:val="21"/>
              </w:rPr>
              <w:t>制定了管理方案，经查</w:t>
            </w:r>
            <w:r>
              <w:rPr>
                <w:rFonts w:hint="eastAsia"/>
                <w:sz w:val="21"/>
                <w:szCs w:val="21"/>
                <w:lang w:val="en-US" w:eastAsia="zh-CN"/>
              </w:rPr>
              <w:t>1-10月份目标</w:t>
            </w:r>
            <w:r>
              <w:rPr>
                <w:rFonts w:hint="eastAsia"/>
                <w:sz w:val="21"/>
                <w:szCs w:val="21"/>
              </w:rPr>
              <w:t>已完成，符合要求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spacing w:line="240" w:lineRule="exact"/>
              <w:ind w:firstLine="105" w:firstLineChars="50"/>
              <w:rPr>
                <w:rFonts w:hint="eastAsia" w:ascii="Times New Roman" w:hAnsi="Times New Roman" w:cs="Times New Roman"/>
                <w:sz w:val="21"/>
                <w:szCs w:val="21"/>
                <w:lang w:val="en-US" w:eastAsia="zh-CN"/>
              </w:rPr>
            </w:pPr>
          </w:p>
          <w:p>
            <w:pPr>
              <w:spacing w:line="240" w:lineRule="exact"/>
              <w:ind w:firstLine="105" w:firstLineChars="50"/>
              <w:rPr>
                <w:rFonts w:hint="eastAsia" w:ascii="宋体" w:hAnsi="宋体"/>
                <w:b/>
                <w:sz w:val="21"/>
                <w:szCs w:val="21"/>
              </w:rPr>
            </w:pPr>
            <w:r>
              <w:rPr>
                <w:rFonts w:hint="eastAsia" w:ascii="Times New Roman" w:hAnsi="Times New Roman" w:cs="Times New Roman"/>
                <w:sz w:val="21"/>
                <w:szCs w:val="21"/>
                <w:lang w:val="en-US" w:eastAsia="zh-CN"/>
              </w:rPr>
              <w:t>提供顾客满意度调查表，2020年1月至9月份共31份，分别对服务质量、报告的及时性以及意见处理情况进行调查，顾客满意度98%，完成公司95%顾客满意度目标。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r>
              <w:rPr>
                <w:rFonts w:hint="eastAsia" w:ascii="Times New Roman" w:hAnsi="Times New Roman" w:cs="Times New Roman"/>
                <w:sz w:val="21"/>
                <w:szCs w:val="21"/>
                <w:lang w:val="zh-CN"/>
              </w:rPr>
              <w:t>按照策划的安排于</w:t>
            </w:r>
            <w:r>
              <w:rPr>
                <w:rFonts w:hint="eastAsia" w:ascii="Times New Roman" w:hAnsi="Times New Roman" w:cs="Times New Roman"/>
                <w:sz w:val="21"/>
                <w:szCs w:val="21"/>
                <w:highlight w:val="none"/>
                <w:lang w:val="zh-CN"/>
              </w:rPr>
              <w:t>20</w:t>
            </w:r>
            <w:r>
              <w:rPr>
                <w:rFonts w:hint="eastAsia" w:ascii="Times New Roman" w:hAnsi="Times New Roman" w:cs="Times New Roman"/>
                <w:sz w:val="21"/>
                <w:szCs w:val="21"/>
                <w:highlight w:val="none"/>
                <w:lang w:val="en-US" w:eastAsia="zh-CN"/>
              </w:rPr>
              <w:t>20年9月10-11日</w:t>
            </w:r>
            <w:r>
              <w:rPr>
                <w:rFonts w:hint="eastAsia" w:ascii="Times New Roman" w:hAnsi="Times New Roman" w:cs="Times New Roman"/>
                <w:sz w:val="21"/>
                <w:szCs w:val="21"/>
                <w:highlight w:val="none"/>
                <w:lang w:val="zh-CN"/>
              </w:rPr>
              <w:t>进行了</w:t>
            </w:r>
            <w:r>
              <w:rPr>
                <w:rFonts w:hint="eastAsia" w:ascii="Times New Roman" w:hAnsi="Times New Roman" w:cs="Times New Roman"/>
                <w:sz w:val="21"/>
                <w:szCs w:val="21"/>
                <w:lang w:val="zh-CN"/>
              </w:rPr>
              <w:t>一次集中式的内部审核，经查阅资料及与管代沟通，内审员没有审核自己的工作，查阅内审记录，符合策划安排，提出</w:t>
            </w:r>
            <w:r>
              <w:rPr>
                <w:rFonts w:hint="eastAsia" w:ascii="Times New Roman" w:hAnsi="Times New Roman" w:cs="Times New Roman"/>
                <w:sz w:val="21"/>
                <w:szCs w:val="21"/>
                <w:lang w:val="en-US" w:eastAsia="zh-CN"/>
              </w:rPr>
              <w:t>1</w:t>
            </w:r>
            <w:r>
              <w:rPr>
                <w:rFonts w:hint="eastAsia" w:ascii="Times New Roman" w:hAnsi="Times New Roman" w:cs="Times New Roman"/>
                <w:sz w:val="21"/>
                <w:szCs w:val="21"/>
                <w:highlight w:val="none"/>
                <w:lang w:val="zh-CN"/>
              </w:rPr>
              <w:t>项</w:t>
            </w:r>
            <w:r>
              <w:rPr>
                <w:rFonts w:hint="eastAsia" w:ascii="Times New Roman" w:hAnsi="Times New Roman" w:cs="Times New Roman"/>
                <w:sz w:val="21"/>
                <w:szCs w:val="21"/>
                <w:lang w:val="zh-CN"/>
              </w:rPr>
              <w:t>不符合，责任部门进行了分析原因、采取纠正/纠正措施并验证了有效性，内审报告中对管理体系的符合性、充分性和运行有效性进行了评价。内审</w:t>
            </w:r>
            <w:r>
              <w:rPr>
                <w:rFonts w:hint="eastAsia" w:cs="Times New Roman"/>
                <w:sz w:val="21"/>
                <w:szCs w:val="21"/>
                <w:lang w:val="en-US" w:eastAsia="zh-CN"/>
              </w:rPr>
              <w:t>基本</w:t>
            </w:r>
            <w:r>
              <w:rPr>
                <w:rFonts w:hint="eastAsia" w:ascii="Times New Roman" w:hAnsi="Times New Roman" w:cs="Times New Roman"/>
                <w:sz w:val="21"/>
                <w:szCs w:val="21"/>
                <w:lang w:val="zh-CN"/>
              </w:rPr>
              <w:t>符合要求</w:t>
            </w:r>
            <w:r>
              <w:rPr>
                <w:rFonts w:hint="eastAsia" w:ascii="Times New Roman" w:hAnsi="Times New Roman" w:cs="Times New Roman"/>
                <w:sz w:val="21"/>
                <w:szCs w:val="21"/>
                <w:lang w:val="zh-CN"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Times New Roman" w:hAnsi="Times New Roman" w:cs="Times New Roman"/>
                <w:sz w:val="21"/>
                <w:szCs w:val="21"/>
                <w:lang w:val="zh-CN"/>
              </w:rPr>
              <w:t>按照策划的安排于20</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lang w:val="zh-CN"/>
              </w:rPr>
              <w:t>年</w:t>
            </w:r>
            <w:r>
              <w:rPr>
                <w:rFonts w:hint="eastAsia" w:ascii="Times New Roman" w:hAnsi="Times New Roman" w:cs="Times New Roman"/>
                <w:sz w:val="21"/>
                <w:szCs w:val="21"/>
                <w:lang w:val="en-US" w:eastAsia="zh-CN"/>
              </w:rPr>
              <w:t>9</w:t>
            </w:r>
            <w:r>
              <w:rPr>
                <w:rFonts w:hint="eastAsia" w:ascii="Times New Roman" w:hAnsi="Times New Roman" w:cs="Times New Roman"/>
                <w:sz w:val="21"/>
                <w:szCs w:val="21"/>
                <w:lang w:val="zh-CN"/>
              </w:rPr>
              <w:t>月</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lang w:val="zh-CN"/>
              </w:rPr>
              <w:t>日进行了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ascii="Times New Roman" w:hAnsi="Times New Roman" w:cs="Times New Roman"/>
                <w:sz w:val="21"/>
                <w:szCs w:val="21"/>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rPr>
            </w:pP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实验室产生的废水进入市政污水</w:t>
            </w:r>
            <w:r>
              <w:rPr>
                <w:rFonts w:hint="eastAsia" w:cs="Times New Roman"/>
                <w:sz w:val="21"/>
                <w:szCs w:val="21"/>
                <w:lang w:val="en-US" w:eastAsia="zh-CN"/>
              </w:rPr>
              <w:t>系统</w:t>
            </w:r>
            <w:r>
              <w:rPr>
                <w:rFonts w:hint="eastAsia" w:ascii="Times New Roman" w:hAnsi="Times New Roman" w:cs="Times New Roman"/>
                <w:sz w:val="21"/>
                <w:szCs w:val="21"/>
                <w:lang w:val="en-US" w:eastAsia="zh-CN"/>
              </w:rPr>
              <w:t>；</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实验室废气经收集后统一排放；</w:t>
            </w:r>
          </w:p>
          <w:p>
            <w:pPr>
              <w:spacing w:line="240" w:lineRule="exact"/>
              <w:rPr>
                <w:rFonts w:hint="default" w:ascii="宋体" w:hAnsi="宋体"/>
                <w:b/>
                <w:sz w:val="21"/>
                <w:szCs w:val="21"/>
                <w:lang w:val="en-US" w:eastAsia="zh-CN"/>
              </w:rPr>
            </w:pPr>
            <w:r>
              <w:rPr>
                <w:rFonts w:hint="eastAsia" w:ascii="Times New Roman" w:hAnsi="Times New Roman" w:cs="Times New Roman"/>
                <w:sz w:val="21"/>
                <w:szCs w:val="21"/>
                <w:lang w:val="en-US" w:eastAsia="zh-CN"/>
              </w:rPr>
              <w:t>实验室废液统一收集，交有资质单位处置。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Times New Roman" w:hAnsi="Times New Roman" w:cs="Times New Roman"/>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val="0"/>
                <w:bCs/>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b w:val="0"/>
                <w:bCs/>
                <w:color w:val="000000" w:themeColor="text1"/>
                <w:sz w:val="21"/>
                <w:szCs w:val="21"/>
                <w:lang w:val="en-US" w:eastAsia="zh-CN"/>
              </w:rPr>
              <w:t>对员工进行了体检，显示合格。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sz w:val="21"/>
                <w:szCs w:val="21"/>
                <w:lang w:eastAsia="zh-CN"/>
              </w:rPr>
              <w:t>对</w:t>
            </w:r>
            <w:r>
              <w:rPr>
                <w:rFonts w:hint="eastAsia"/>
                <w:sz w:val="21"/>
                <w:szCs w:val="21"/>
              </w:rPr>
              <w:t>内审提出的</w:t>
            </w:r>
            <w:r>
              <w:rPr>
                <w:rFonts w:hint="eastAsia"/>
                <w:sz w:val="21"/>
                <w:szCs w:val="21"/>
                <w:lang w:val="en-US" w:eastAsia="zh-CN"/>
              </w:rPr>
              <w:t>1项</w:t>
            </w:r>
            <w:r>
              <w:rPr>
                <w:rFonts w:hint="eastAsia"/>
                <w:sz w:val="21"/>
                <w:szCs w:val="21"/>
              </w:rPr>
              <w:t>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w:t>
            </w:r>
            <w:r>
              <w:rPr>
                <w:rFonts w:hint="eastAsia"/>
                <w:sz w:val="21"/>
                <w:szCs w:val="21"/>
                <w:lang w:val="en-US" w:eastAsia="zh-CN"/>
              </w:rPr>
              <w:t>已完成</w:t>
            </w:r>
            <w:r>
              <w:rPr>
                <w:rFonts w:hint="eastAsia"/>
                <w:sz w:val="21"/>
                <w:szCs w:val="21"/>
                <w:lang w:eastAsia="zh-CN"/>
              </w:rPr>
              <w:t>。</w:t>
            </w:r>
            <w:r>
              <w:rPr>
                <w:rFonts w:hint="eastAsia"/>
                <w:sz w:val="21"/>
                <w:szCs w:val="21"/>
                <w:lang w:val="en-US" w:eastAsia="zh-CN"/>
              </w:rPr>
              <w:t>本次审核的不符合已整改完成，见不符合报告。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default" w:ascii="宋体" w:hAnsi="宋体" w:eastAsia="宋体"/>
                <w:b/>
                <w:sz w:val="21"/>
                <w:szCs w:val="21"/>
                <w:lang w:val="en-US" w:eastAsia="zh-CN"/>
              </w:rPr>
            </w:pPr>
            <w:r>
              <w:rPr>
                <w:rFonts w:hint="eastAsia" w:ascii="宋体" w:hAnsi="宋体"/>
                <w:b w:val="0"/>
                <w:bCs/>
                <w:sz w:val="21"/>
                <w:szCs w:val="21"/>
                <w:lang w:val="en-US" w:eastAsia="zh-CN"/>
              </w:rPr>
              <w:t>2019年初审不符合2项，1.检测室——药品室无MSDS，经审核，已编制安全说明书；2.未实行固废分类，本次审核已整改。2项不符合整改符合要求。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2</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w:t>
      </w:r>
      <w:r>
        <w:rPr>
          <w:rFonts w:hint="eastAsia" w:ascii="宋体" w:hAnsi="宋体"/>
          <w:b/>
          <w:szCs w:val="21"/>
          <w:lang w:val="en-US" w:eastAsia="zh-CN"/>
        </w:rPr>
        <w:t>0</w:t>
      </w:r>
      <w:r>
        <w:rPr>
          <w:rFonts w:hint="eastAsia" w:ascii="宋体" w:hAnsi="宋体"/>
          <w:b/>
          <w:szCs w:val="21"/>
        </w:rPr>
        <w:t>不符合项，一般不符合</w:t>
      </w:r>
      <w:r>
        <w:rPr>
          <w:rFonts w:hint="eastAsia" w:ascii="宋体" w:hAnsi="宋体"/>
          <w:b/>
          <w:szCs w:val="21"/>
          <w:lang w:val="en-US" w:eastAsia="zh-CN"/>
        </w:rPr>
        <w:t>2</w:t>
      </w:r>
      <w:r>
        <w:rPr>
          <w:rFonts w:hint="eastAsia" w:ascii="宋体" w:hAnsi="宋体"/>
          <w:b/>
          <w:szCs w:val="21"/>
        </w:rPr>
        <w:t>项，观察项</w:t>
      </w:r>
      <w:r>
        <w:rPr>
          <w:rFonts w:hint="eastAsia" w:ascii="宋体" w:hAnsi="宋体"/>
          <w:b/>
          <w:szCs w:val="21"/>
          <w:lang w:val="en-US" w:eastAsia="zh-CN"/>
        </w:rPr>
        <w:t>3</w:t>
      </w:r>
      <w:r>
        <w:rPr>
          <w:rFonts w:hint="eastAsia" w:ascii="宋体" w:hAnsi="宋体"/>
          <w:b/>
          <w:szCs w:val="21"/>
        </w:rPr>
        <w:t>项</w:t>
      </w:r>
      <w:r>
        <w:rPr>
          <w:rFonts w:hint="eastAsia" w:ascii="宋体" w:hAnsi="宋体"/>
          <w:b/>
          <w:szCs w:val="21"/>
          <w:lang w:eastAsia="zh-CN"/>
        </w:rPr>
        <w:t>，</w:t>
      </w:r>
      <w:r>
        <w:rPr>
          <w:rFonts w:hint="eastAsia" w:ascii="宋体" w:hAnsi="宋体"/>
          <w:b/>
          <w:szCs w:val="21"/>
        </w:rPr>
        <w:t>分布在</w:t>
      </w:r>
      <w:r>
        <w:rPr>
          <w:rFonts w:hint="eastAsia" w:ascii="宋体" w:hAnsi="宋体"/>
          <w:b/>
          <w:szCs w:val="21"/>
          <w:lang w:val="en-US" w:eastAsia="zh-CN"/>
        </w:rPr>
        <w:t>检测室和质量行政部</w:t>
      </w:r>
      <w:r>
        <w:rPr>
          <w:rFonts w:hint="eastAsia" w:ascii="宋体" w:hAnsi="宋体"/>
          <w:b/>
          <w:szCs w:val="21"/>
        </w:rPr>
        <w:t>，见不符合项分布表。（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left="331" w:leftChars="88" w:hanging="120" w:hangingChars="50"/>
              <w:rPr>
                <w:rFonts w:ascii="宋体" w:hAnsi="宋体"/>
                <w:b/>
                <w:szCs w:val="21"/>
              </w:rPr>
            </w:pPr>
          </w:p>
          <w:p>
            <w:pPr>
              <w:keepNext w:val="0"/>
              <w:keepLines w:val="0"/>
              <w:pageBreakBefore w:val="0"/>
              <w:widowControl w:val="0"/>
              <w:kinsoku/>
              <w:wordWrap/>
              <w:overflowPunct/>
              <w:topLinePunct w:val="0"/>
              <w:autoSpaceDE/>
              <w:autoSpaceDN/>
              <w:bidi w:val="0"/>
              <w:adjustRightInd/>
              <w:snapToGrid/>
              <w:spacing w:line="320" w:lineRule="exact"/>
              <w:ind w:left="420" w:leftChars="175" w:firstLine="315" w:firstLineChars="150"/>
              <w:textAlignment w:val="auto"/>
              <w:rPr>
                <w:rFonts w:ascii="宋体" w:hAnsi="宋体"/>
                <w:b/>
                <w:szCs w:val="21"/>
              </w:rPr>
            </w:pPr>
            <w:r>
              <w:rPr>
                <w:rFonts w:hint="eastAsia" w:ascii="Times New Roman" w:hAnsi="Times New Roman" w:cs="Times New Roman"/>
                <w:sz w:val="21"/>
                <w:szCs w:val="21"/>
              </w:rPr>
              <w:t>在</w:t>
            </w:r>
            <w:r>
              <w:rPr>
                <w:rFonts w:hint="eastAsia" w:ascii="Times New Roman" w:hAnsi="Times New Roman" w:cs="Times New Roman"/>
                <w:sz w:val="21"/>
                <w:szCs w:val="21"/>
                <w:lang w:val="en-US" w:eastAsia="zh-CN"/>
              </w:rPr>
              <w:t>本次审核</w:t>
            </w:r>
            <w:r>
              <w:rPr>
                <w:rFonts w:hint="eastAsia" w:ascii="Times New Roman" w:hAnsi="Times New Roman" w:cs="Times New Roman"/>
                <w:sz w:val="21"/>
                <w:szCs w:val="21"/>
              </w:rPr>
              <w:t>周期内</w:t>
            </w:r>
            <w:r>
              <w:rPr>
                <w:rFonts w:hint="eastAsia" w:ascii="Times New Roman" w:hAnsi="Times New Roman" w:cs="Times New Roman"/>
                <w:sz w:val="21"/>
                <w:szCs w:val="21"/>
                <w:lang w:val="en-US" w:eastAsia="zh-CN"/>
              </w:rPr>
              <w:t>河北从瑞环保科技有限公司的QES</w:t>
            </w:r>
            <w:r>
              <w:rPr>
                <w:rFonts w:hint="eastAsia" w:ascii="Times New Roman" w:hAnsi="Times New Roman" w:cs="Times New Roman"/>
                <w:sz w:val="21"/>
                <w:szCs w:val="21"/>
              </w:rPr>
              <w:t>管理体系</w:t>
            </w:r>
            <w:r>
              <w:rPr>
                <w:rFonts w:hint="eastAsia" w:ascii="Times New Roman" w:hAnsi="Times New Roman" w:cs="Times New Roman"/>
                <w:sz w:val="21"/>
                <w:szCs w:val="21"/>
                <w:lang w:val="en-US" w:eastAsia="zh-CN"/>
              </w:rPr>
              <w:t>能够实现</w:t>
            </w:r>
            <w:r>
              <w:rPr>
                <w:rFonts w:hint="eastAsia" w:ascii="Times New Roman" w:hAnsi="Times New Roman" w:cs="Times New Roman"/>
                <w:sz w:val="21"/>
                <w:szCs w:val="21"/>
              </w:rPr>
              <w:t>持续对过程</w:t>
            </w:r>
            <w:r>
              <w:rPr>
                <w:rFonts w:hint="eastAsia" w:cs="Times New Roman"/>
                <w:sz w:val="21"/>
                <w:szCs w:val="21"/>
                <w:lang w:val="en-US" w:eastAsia="zh-CN"/>
              </w:rPr>
              <w:t>的有效控</w:t>
            </w:r>
            <w:r>
              <w:rPr>
                <w:rFonts w:hint="eastAsia" w:ascii="Times New Roman" w:hAnsi="Times New Roman" w:cs="Times New Roman"/>
                <w:sz w:val="21"/>
                <w:szCs w:val="21"/>
              </w:rPr>
              <w:t>制，</w:t>
            </w:r>
            <w:r>
              <w:rPr>
                <w:rFonts w:hint="eastAsia" w:cs="Times New Roman"/>
                <w:sz w:val="21"/>
                <w:szCs w:val="21"/>
                <w:lang w:val="en-US" w:eastAsia="zh-CN"/>
              </w:rPr>
              <w:t>可以</w:t>
            </w:r>
            <w:r>
              <w:rPr>
                <w:rFonts w:hint="eastAsia" w:ascii="Times New Roman" w:hAnsi="Times New Roman" w:cs="Times New Roman"/>
                <w:sz w:val="21"/>
                <w:szCs w:val="21"/>
              </w:rPr>
              <w:t>持续满足标准要求</w:t>
            </w:r>
            <w:r>
              <w:rPr>
                <w:rFonts w:hint="eastAsia" w:cs="Times New Roman"/>
                <w:sz w:val="21"/>
                <w:szCs w:val="21"/>
                <w:lang w:eastAsia="zh-CN"/>
              </w:rPr>
              <w:t>，</w:t>
            </w:r>
            <w:r>
              <w:rPr>
                <w:rFonts w:hint="eastAsia" w:ascii="Times New Roman" w:hAnsi="Times New Roman" w:cs="Times New Roman"/>
                <w:sz w:val="21"/>
                <w:szCs w:val="21"/>
              </w:rPr>
              <w:t>目标</w:t>
            </w:r>
            <w:r>
              <w:rPr>
                <w:rFonts w:hint="eastAsia" w:cs="Times New Roman"/>
                <w:sz w:val="21"/>
                <w:szCs w:val="21"/>
                <w:lang w:val="en-US" w:eastAsia="zh-CN"/>
              </w:rPr>
              <w:t>指标完成情况较好，可以持续</w:t>
            </w:r>
            <w:r>
              <w:rPr>
                <w:rFonts w:hint="eastAsia" w:ascii="Times New Roman" w:hAnsi="Times New Roman" w:cs="Times New Roman"/>
                <w:sz w:val="21"/>
                <w:szCs w:val="21"/>
              </w:rPr>
              <w:t>向</w:t>
            </w:r>
            <w:r>
              <w:rPr>
                <w:rFonts w:hint="eastAsia" w:ascii="Times New Roman" w:hAnsi="Times New Roman" w:cs="Times New Roman"/>
                <w:sz w:val="21"/>
                <w:szCs w:val="21"/>
                <w:lang w:val="en-US" w:eastAsia="zh-CN"/>
              </w:rPr>
              <w:t>客户提供符合CMA要求的合格报告</w:t>
            </w:r>
            <w:r>
              <w:rPr>
                <w:rFonts w:hint="eastAsia" w:ascii="Times New Roman" w:hAnsi="Times New Roman" w:cs="Times New Roman"/>
                <w:sz w:val="21"/>
                <w:szCs w:val="21"/>
              </w:rPr>
              <w:t>，满足适用的环境/职业健康安全法规</w:t>
            </w:r>
            <w:r>
              <w:rPr>
                <w:rFonts w:hint="eastAsia" w:cs="Times New Roman"/>
                <w:sz w:val="21"/>
                <w:szCs w:val="21"/>
                <w:lang w:val="en-US" w:eastAsia="zh-CN"/>
              </w:rPr>
              <w:t>要求，</w:t>
            </w:r>
            <w:r>
              <w:rPr>
                <w:rFonts w:hint="eastAsia" w:ascii="Times New Roman" w:hAnsi="Times New Roman" w:cs="Times New Roman"/>
                <w:sz w:val="21"/>
                <w:szCs w:val="21"/>
              </w:rPr>
              <w:t>策划的活动</w:t>
            </w:r>
            <w:r>
              <w:rPr>
                <w:rFonts w:hint="eastAsia" w:cs="Times New Roman"/>
                <w:sz w:val="21"/>
                <w:szCs w:val="21"/>
                <w:lang w:val="en-US" w:eastAsia="zh-CN"/>
              </w:rPr>
              <w:t>在</w:t>
            </w:r>
            <w:r>
              <w:rPr>
                <w:rFonts w:hint="eastAsia" w:ascii="Times New Roman" w:hAnsi="Times New Roman" w:cs="Times New Roman"/>
                <w:sz w:val="21"/>
                <w:szCs w:val="21"/>
              </w:rPr>
              <w:t>防止污染、重大事故和持续改进</w:t>
            </w:r>
            <w:r>
              <w:rPr>
                <w:rFonts w:hint="eastAsia" w:cs="Times New Roman"/>
                <w:sz w:val="21"/>
                <w:szCs w:val="21"/>
                <w:lang w:val="en-US" w:eastAsia="zh-CN"/>
              </w:rPr>
              <w:t>方面能够实现有效控制</w:t>
            </w:r>
            <w:r>
              <w:rPr>
                <w:rFonts w:hint="eastAsia" w:ascii="Times New Roman" w:hAnsi="Times New Roman" w:cs="Times New Roman"/>
                <w:sz w:val="21"/>
                <w:szCs w:val="21"/>
              </w:rPr>
              <w:t>；</w:t>
            </w:r>
            <w:r>
              <w:rPr>
                <w:rFonts w:hint="eastAsia" w:cs="Times New Roman"/>
                <w:sz w:val="21"/>
                <w:szCs w:val="21"/>
                <w:lang w:val="en-US" w:eastAsia="zh-CN"/>
              </w:rPr>
              <w:t>本次审核</w:t>
            </w:r>
            <w:r>
              <w:rPr>
                <w:rFonts w:hint="eastAsia" w:ascii="Times New Roman" w:hAnsi="Times New Roman" w:cs="Times New Roman"/>
                <w:sz w:val="21"/>
                <w:szCs w:val="21"/>
                <w:lang w:val="en-US" w:eastAsia="zh-CN"/>
              </w:rPr>
              <w:t>无</w:t>
            </w:r>
            <w:r>
              <w:rPr>
                <w:rFonts w:hint="eastAsia" w:ascii="Times New Roman" w:hAnsi="Times New Roman" w:cs="Times New Roman"/>
                <w:sz w:val="21"/>
                <w:szCs w:val="21"/>
              </w:rPr>
              <w:t>扩大</w:t>
            </w:r>
            <w:r>
              <w:rPr>
                <w:rFonts w:hint="eastAsia" w:cs="Times New Roman"/>
                <w:sz w:val="21"/>
                <w:szCs w:val="21"/>
                <w:lang w:val="en-US" w:eastAsia="zh-CN"/>
              </w:rPr>
              <w:t>审核</w:t>
            </w:r>
            <w:r>
              <w:rPr>
                <w:rFonts w:hint="eastAsia" w:ascii="Times New Roman" w:hAnsi="Times New Roman" w:cs="Times New Roman"/>
                <w:sz w:val="21"/>
                <w:szCs w:val="21"/>
              </w:rPr>
              <w:t>范围</w:t>
            </w:r>
            <w:r>
              <w:rPr>
                <w:rFonts w:hint="eastAsia" w:ascii="Times New Roman" w:hAnsi="Times New Roman" w:cs="Times New Roman"/>
                <w:sz w:val="21"/>
                <w:szCs w:val="21"/>
                <w:lang w:val="en-US" w:eastAsia="zh-CN"/>
              </w:rPr>
              <w:t>的</w:t>
            </w:r>
            <w:r>
              <w:rPr>
                <w:rFonts w:hint="eastAsia" w:ascii="Times New Roman" w:hAnsi="Times New Roman" w:cs="Times New Roman"/>
                <w:sz w:val="21"/>
                <w:szCs w:val="21"/>
              </w:rPr>
              <w:t>情况</w:t>
            </w:r>
            <w:r>
              <w:rPr>
                <w:rFonts w:hint="eastAsia" w:ascii="Times New Roman" w:hAnsi="Times New Roman" w:cs="Times New Roman"/>
                <w:sz w:val="21"/>
                <w:szCs w:val="21"/>
                <w:lang w:eastAsia="zh-CN"/>
              </w:rPr>
              <w:t>。</w:t>
            </w:r>
          </w:p>
          <w:p>
            <w:pPr>
              <w:spacing w:line="240" w:lineRule="exact"/>
              <w:rPr>
                <w:rFonts w:ascii="宋体" w:hAnsi="宋体"/>
                <w:b/>
                <w:szCs w:val="21"/>
              </w:rPr>
            </w:pPr>
          </w:p>
        </w:tc>
      </w:tr>
    </w:tbl>
    <w:p>
      <w:pPr>
        <w:spacing w:line="360" w:lineRule="auto"/>
        <w:ind w:left="600"/>
        <w:rPr>
          <w:rFonts w:hint="eastAsia"/>
          <w:b/>
          <w:szCs w:val="24"/>
        </w:rPr>
      </w:pPr>
    </w:p>
    <w:p>
      <w:pPr>
        <w:spacing w:line="360" w:lineRule="auto"/>
        <w:ind w:left="600"/>
        <w:rPr>
          <w:rFonts w:hint="eastAsia"/>
          <w:b/>
          <w:szCs w:val="24"/>
        </w:rPr>
      </w:pPr>
    </w:p>
    <w:p>
      <w:pPr>
        <w:spacing w:line="360" w:lineRule="auto"/>
        <w:ind w:left="600"/>
        <w:rPr>
          <w:b/>
          <w:szCs w:val="24"/>
        </w:rPr>
      </w:pPr>
      <w:bookmarkStart w:id="28" w:name="_GoBack"/>
      <w:r>
        <w:rPr>
          <w:rFonts w:hint="eastAsia"/>
          <w:b/>
          <w:szCs w:val="24"/>
        </w:rPr>
        <w:drawing>
          <wp:anchor distT="0" distB="0" distL="114935" distR="114935" simplePos="0" relativeHeight="251661312" behindDoc="0" locked="0" layoutInCell="1" allowOverlap="1">
            <wp:simplePos x="0" y="0"/>
            <wp:positionH relativeFrom="column">
              <wp:posOffset>-359410</wp:posOffset>
            </wp:positionH>
            <wp:positionV relativeFrom="paragraph">
              <wp:posOffset>-362585</wp:posOffset>
            </wp:positionV>
            <wp:extent cx="6155690" cy="9538335"/>
            <wp:effectExtent l="0" t="0" r="3810" b="12065"/>
            <wp:wrapSquare wrapText="bothSides"/>
            <wp:docPr id="4" name="图片 4" descr="审核报告签字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审核报告签字页"/>
                    <pic:cNvPicPr>
                      <a:picLocks noChangeAspect="1"/>
                    </pic:cNvPicPr>
                  </pic:nvPicPr>
                  <pic:blipFill>
                    <a:blip r:embed="rId6"/>
                    <a:stretch>
                      <a:fillRect/>
                    </a:stretch>
                  </pic:blipFill>
                  <pic:spPr>
                    <a:xfrm>
                      <a:off x="0" y="0"/>
                      <a:ext cx="6155690" cy="9538335"/>
                    </a:xfrm>
                    <a:prstGeom prst="rect">
                      <a:avLst/>
                    </a:prstGeom>
                  </pic:spPr>
                </pic:pic>
              </a:graphicData>
            </a:graphic>
          </wp:anchor>
        </w:drawing>
      </w:r>
      <w:bookmarkEnd w:id="28"/>
      <w:r>
        <w:rPr>
          <w:rFonts w:hint="eastAsia"/>
          <w:b/>
          <w:szCs w:val="24"/>
        </w:rPr>
        <w:t>认证评定负责人：日期：年月日</w:t>
      </w:r>
    </w:p>
    <w:p>
      <w:pPr>
        <w:numPr>
          <w:numId w:val="0"/>
        </w:numPr>
        <w:spacing w:line="360" w:lineRule="auto"/>
        <w:ind w:left="600" w:leftChars="0"/>
        <w:rPr>
          <w:rFonts w:hint="eastAsia"/>
          <w:b/>
          <w:szCs w:val="24"/>
          <w:lang w:val="en-US" w:eastAsia="zh-CN"/>
        </w:rPr>
      </w:pPr>
    </w:p>
    <w:p>
      <w:pPr>
        <w:spacing w:line="360" w:lineRule="auto"/>
        <w:ind w:left="600"/>
        <w:rPr>
          <w:rFonts w:hint="eastAsia"/>
          <w:b/>
          <w:szCs w:val="24"/>
          <w:lang w:val="en-US" w:eastAsia="zh-CN"/>
        </w:rPr>
      </w:pPr>
      <w:r>
        <w:rPr>
          <w:rFonts w:hint="eastAsia"/>
          <w:b/>
          <w:szCs w:val="24"/>
        </w:rPr>
        <w:t>批准人（总经理）：日期：年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numId w:val="0"/>
        </w:numPr>
        <w:spacing w:line="360" w:lineRule="auto"/>
        <w:ind w:left="600" w:leftChars="0"/>
        <w:rPr>
          <w:b/>
          <w:szCs w:val="24"/>
        </w:rPr>
      </w:pPr>
      <w:r>
        <w:rPr>
          <w:rFonts w:hint="eastAsia"/>
          <w:b/>
          <w:szCs w:val="24"/>
          <w:lang w:val="en-US" w:eastAsia="zh-CN"/>
        </w:rPr>
        <w:t>2.</w:t>
      </w: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29AA7"/>
    <w:multiLevelType w:val="singleLevel"/>
    <w:tmpl w:val="82429AA7"/>
    <w:lvl w:ilvl="0" w:tentative="0">
      <w:start w:val="3"/>
      <w:numFmt w:val="decimal"/>
      <w:lvlText w:val="%1."/>
      <w:lvlJc w:val="left"/>
      <w:pPr>
        <w:tabs>
          <w:tab w:val="left" w:pos="312"/>
        </w:tabs>
      </w:pPr>
    </w:lvl>
  </w:abstractNum>
  <w:abstractNum w:abstractNumId="1">
    <w:nsid w:val="A646D633"/>
    <w:multiLevelType w:val="singleLevel"/>
    <w:tmpl w:val="A646D633"/>
    <w:lvl w:ilvl="0" w:tentative="0">
      <w:start w:val="2"/>
      <w:numFmt w:val="decimal"/>
      <w:suff w:val="nothing"/>
      <w:lvlText w:val="%1、"/>
      <w:lvlJc w:val="left"/>
    </w:lvl>
  </w:abstractNum>
  <w:abstractNum w:abstractNumId="2">
    <w:nsid w:val="24EBECD5"/>
    <w:multiLevelType w:val="singleLevel"/>
    <w:tmpl w:val="24EBECD5"/>
    <w:lvl w:ilvl="0" w:tentative="0">
      <w:start w:val="2"/>
      <w:numFmt w:val="decimal"/>
      <w:lvlText w:val="%1."/>
      <w:lvlJc w:val="left"/>
      <w:pPr>
        <w:tabs>
          <w:tab w:val="left" w:pos="312"/>
        </w:tabs>
      </w:pPr>
    </w:lvl>
  </w:abstractNum>
  <w:abstractNum w:abstractNumId="3">
    <w:nsid w:val="2DA613D2"/>
    <w:multiLevelType w:val="singleLevel"/>
    <w:tmpl w:val="2DA613D2"/>
    <w:lvl w:ilvl="0" w:tentative="0">
      <w:start w:val="6"/>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377B92"/>
    <w:rsid w:val="1C533016"/>
    <w:rsid w:val="6E4A5CE3"/>
    <w:rsid w:val="7993636D"/>
    <w:rsid w:val="7CB972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丽英</cp:lastModifiedBy>
  <cp:lastPrinted>2019-04-18T08:15:00Z</cp:lastPrinted>
  <dcterms:modified xsi:type="dcterms:W3CDTF">2020-11-21T08:42:47Z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