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left"/>
        <w:rPr>
          <w:rFonts w:ascii="楷体" w:hAnsi="楷体" w:eastAsia="楷体"/>
          <w:b/>
          <w:bCs/>
          <w:color w:val="000000" w:themeColor="text1"/>
          <w:sz w:val="24"/>
          <w:szCs w:val="24"/>
        </w:rPr>
      </w:pPr>
      <w:r>
        <w:rPr>
          <w:rFonts w:hint="eastAsia" w:ascii="宋体" w:hAnsi="宋体"/>
          <w:b/>
          <w:bCs/>
          <w:sz w:val="24"/>
          <w:szCs w:val="24"/>
        </w:rPr>
        <w:t>编  号：</w:t>
      </w:r>
      <w:bookmarkStart w:id="0" w:name="合同编号"/>
      <w:r>
        <w:rPr>
          <w:b/>
          <w:bCs/>
          <w:sz w:val="24"/>
          <w:szCs w:val="24"/>
        </w:rPr>
        <w:t>0594-2020-QEO</w:t>
      </w:r>
      <w:bookmarkEnd w:id="0"/>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四川省晨田机床制造有限公司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余家龙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宋明珠</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凌万春</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Q:专家</w:t>
            </w:r>
          </w:p>
          <w:p>
            <w:pPr>
              <w:spacing w:line="240" w:lineRule="exact"/>
              <w:jc w:val="center"/>
              <w:rPr>
                <w:b/>
                <w:color w:val="000000" w:themeColor="text1"/>
                <w:sz w:val="20"/>
                <w:szCs w:val="20"/>
              </w:rPr>
            </w:pPr>
            <w:r>
              <w:rPr>
                <w:b/>
                <w:color w:val="000000" w:themeColor="text1"/>
                <w:sz w:val="20"/>
                <w:szCs w:val="20"/>
              </w:rPr>
              <w:t>E:专家</w:t>
            </w:r>
          </w:p>
          <w:p>
            <w:pPr>
              <w:spacing w:line="240" w:lineRule="exact"/>
              <w:jc w:val="center"/>
              <w:rPr>
                <w:b/>
                <w:color w:val="000000" w:themeColor="text1"/>
                <w:sz w:val="20"/>
                <w:szCs w:val="20"/>
              </w:rPr>
            </w:pPr>
            <w:r>
              <w:rPr>
                <w:b/>
                <w:color w:val="000000" w:themeColor="text1"/>
                <w:sz w:val="20"/>
                <w:szCs w:val="20"/>
              </w:rPr>
              <w:t>O:专家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Q:18.04.01</w:t>
            </w:r>
          </w:p>
          <w:p>
            <w:pPr>
              <w:spacing w:line="240" w:lineRule="exact"/>
              <w:jc w:val="center"/>
              <w:rPr>
                <w:b/>
                <w:color w:val="000000" w:themeColor="text1"/>
                <w:sz w:val="20"/>
                <w:szCs w:val="20"/>
              </w:rPr>
            </w:pPr>
            <w:r>
              <w:rPr>
                <w:b/>
                <w:color w:val="000000" w:themeColor="text1"/>
                <w:sz w:val="20"/>
                <w:szCs w:val="20"/>
              </w:rPr>
              <w:t>E:18.04.01</w:t>
            </w:r>
          </w:p>
          <w:p>
            <w:pPr>
              <w:spacing w:line="240" w:lineRule="exact"/>
              <w:jc w:val="center"/>
              <w:rPr>
                <w:b/>
                <w:color w:val="000000" w:themeColor="text1"/>
                <w:sz w:val="20"/>
                <w:szCs w:val="20"/>
              </w:rPr>
            </w:pPr>
            <w:r>
              <w:rPr>
                <w:b/>
                <w:color w:val="000000" w:themeColor="text1"/>
                <w:sz w:val="20"/>
                <w:szCs w:val="20"/>
              </w:rPr>
              <w:t>O:18.04.01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bookmarkStart w:id="5" w:name="Q勾选Add"/>
            <w:r>
              <w:rPr>
                <w:rFonts w:hint="eastAsia" w:ascii="宋体" w:cs="宋体" w:hAnsiTheme="minorHAnsi"/>
                <w:color w:val="000000" w:themeColor="text1"/>
                <w:kern w:val="0"/>
                <w:sz w:val="20"/>
                <w:szCs w:val="20"/>
                <w:lang w:val="en-US" w:eastAsia="zh-CN"/>
              </w:rPr>
              <w:t>■</w:t>
            </w:r>
            <w:bookmarkEnd w:id="5"/>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val="en-US"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val="en-US"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6" w:name="审核依据"/>
      <w:r>
        <w:rPr>
          <w:rFonts w:hint="eastAsia" w:ascii="宋体" w:hAnsi="宋体"/>
          <w:b/>
          <w:color w:val="000000" w:themeColor="text1"/>
          <w:spacing w:val="-10"/>
          <w:sz w:val="20"/>
          <w:szCs w:val="20"/>
        </w:rPr>
        <w:t>Q：GB/T19001-2016/ISO9001:2015,E：GB/T 24001-2016/ISO14001:2015,O：GB/T45001-2020 / ISO45001：2018</w:t>
      </w:r>
      <w:bookmarkEnd w:id="6"/>
    </w:p>
    <w:p>
      <w:pPr>
        <w:ind w:left="-840" w:leftChars="-400" w:firstLine="0" w:firstLineChars="0"/>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7" w:name="组织名称Add1"/>
            <w:r>
              <w:rPr>
                <w:rFonts w:ascii="宋体" w:hAnsi="宋体"/>
                <w:b/>
                <w:color w:val="000000" w:themeColor="text1"/>
                <w:sz w:val="20"/>
                <w:szCs w:val="20"/>
              </w:rPr>
              <w:t>四川省晨田机床制造有限公司</w:t>
            </w:r>
            <w:bookmarkEnd w:id="7"/>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8" w:name="企业人数"/>
            <w:r>
              <w:rPr>
                <w:rFonts w:ascii="宋体" w:hAnsi="宋体"/>
                <w:b/>
                <w:color w:val="000000" w:themeColor="text1"/>
                <w:sz w:val="20"/>
                <w:szCs w:val="20"/>
              </w:rPr>
              <w:t>25</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9" w:name="注册地址"/>
            <w:r>
              <w:rPr>
                <w:rFonts w:ascii="宋体" w:hAnsi="宋体"/>
                <w:b/>
                <w:color w:val="000000" w:themeColor="text1"/>
                <w:sz w:val="20"/>
                <w:szCs w:val="20"/>
              </w:rPr>
              <w:t>四川省内江市资中县经开区凤凰岭片区凤翔东路</w:t>
            </w:r>
            <w:bookmarkEnd w:id="9"/>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10" w:name="注册邮编"/>
            <w:r>
              <w:rPr>
                <w:rFonts w:ascii="宋体" w:hAnsi="宋体"/>
                <w:b/>
                <w:color w:val="000000" w:themeColor="text1"/>
                <w:spacing w:val="-20"/>
                <w:sz w:val="20"/>
                <w:szCs w:val="20"/>
              </w:rPr>
              <w:t>641200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1" w:name="办公地址"/>
            <w:r>
              <w:rPr>
                <w:rFonts w:ascii="宋体" w:hAnsi="宋体"/>
                <w:b/>
                <w:color w:val="000000" w:themeColor="text1"/>
                <w:sz w:val="20"/>
                <w:szCs w:val="20"/>
              </w:rPr>
              <w:t>四川省内江市资中县经开区凤凰岭片区凤翔东路</w:t>
            </w:r>
            <w:bookmarkEnd w:id="11"/>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2" w:name="办公邮编"/>
            <w:r>
              <w:rPr>
                <w:rFonts w:ascii="宋体" w:hAnsi="宋体"/>
                <w:b/>
                <w:color w:val="000000" w:themeColor="text1"/>
                <w:sz w:val="20"/>
                <w:szCs w:val="20"/>
              </w:rPr>
              <w:t>641200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3" w:name="联系人"/>
            <w:r>
              <w:rPr>
                <w:rFonts w:ascii="宋体" w:hAnsi="宋体"/>
                <w:b/>
                <w:color w:val="000000" w:themeColor="text1"/>
                <w:sz w:val="20"/>
                <w:szCs w:val="20"/>
              </w:rPr>
              <w:t>马学洋</w:t>
            </w:r>
            <w:bookmarkEnd w:id="13"/>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4" w:name="联系人电话"/>
            <w:r>
              <w:rPr>
                <w:rFonts w:ascii="宋体" w:hAnsi="宋体"/>
                <w:b/>
                <w:color w:val="000000" w:themeColor="text1"/>
                <w:sz w:val="20"/>
                <w:szCs w:val="20"/>
              </w:rPr>
              <w:t>18231875050</w:t>
            </w:r>
            <w:bookmarkEnd w:id="14"/>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5" w:name="联系人传真"/>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6" w:name="法人"/>
            <w:r>
              <w:rPr>
                <w:rFonts w:ascii="宋体" w:hAnsi="宋体"/>
                <w:b/>
                <w:color w:val="000000" w:themeColor="text1"/>
                <w:sz w:val="20"/>
                <w:szCs w:val="20"/>
              </w:rPr>
              <w:t>陈帮勇</w:t>
            </w:r>
            <w:bookmarkEnd w:id="16"/>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jc w:val="center"/>
              <w:rPr>
                <w:rFonts w:ascii="宋体" w:hAnsi="宋体"/>
                <w:b/>
                <w:color w:val="000000" w:themeColor="text1"/>
                <w:spacing w:val="-20"/>
                <w:sz w:val="20"/>
                <w:szCs w:val="20"/>
              </w:rPr>
            </w:pPr>
            <w:bookmarkStart w:id="17" w:name="最高管理者"/>
            <w:bookmarkEnd w:id="17"/>
            <w:r>
              <w:rPr>
                <w:rFonts w:ascii="宋体" w:hAnsi="宋体"/>
                <w:b/>
                <w:color w:val="000000" w:themeColor="text1"/>
                <w:sz w:val="20"/>
                <w:szCs w:val="20"/>
              </w:rPr>
              <w:t>陈帮勇</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8" w:name="管理者代表"/>
            <w:r>
              <w:rPr>
                <w:rFonts w:ascii="宋体" w:hAnsi="宋体"/>
                <w:b/>
                <w:color w:val="000000" w:themeColor="text1"/>
                <w:sz w:val="20"/>
                <w:szCs w:val="20"/>
              </w:rPr>
              <w:t>刘彬</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9" w:name="审核范围"/>
            <w:r>
              <w:rPr>
                <w:rFonts w:ascii="宋体" w:hAnsi="宋体"/>
                <w:b/>
                <w:color w:val="000000" w:themeColor="text1"/>
                <w:sz w:val="20"/>
                <w:szCs w:val="20"/>
              </w:rPr>
              <w:t>Q：金属切削机床制造</w:t>
            </w:r>
          </w:p>
          <w:p>
            <w:pPr>
              <w:spacing w:line="320" w:lineRule="exact"/>
              <w:rPr>
                <w:rFonts w:ascii="宋体" w:hAnsi="宋体"/>
                <w:b/>
                <w:color w:val="000000" w:themeColor="text1"/>
                <w:sz w:val="20"/>
                <w:szCs w:val="20"/>
              </w:rPr>
            </w:pPr>
            <w:r>
              <w:rPr>
                <w:rFonts w:ascii="宋体" w:hAnsi="宋体"/>
                <w:b/>
                <w:color w:val="000000" w:themeColor="text1"/>
                <w:sz w:val="20"/>
                <w:szCs w:val="20"/>
              </w:rPr>
              <w:t>E：金属切削机床制造所涉及的相关环境管理活动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O：金属切削机床制造所涉及的相关职业健康安全管理活动</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20" w:name="专业代码"/>
            <w:r>
              <w:rPr>
                <w:rFonts w:ascii="宋体" w:hAnsi="宋体"/>
                <w:b/>
                <w:color w:val="000000" w:themeColor="text1"/>
                <w:sz w:val="20"/>
                <w:szCs w:val="20"/>
              </w:rPr>
              <w:t>Q：18.04.01</w:t>
            </w:r>
          </w:p>
          <w:p>
            <w:pPr>
              <w:spacing w:line="320" w:lineRule="exact"/>
              <w:rPr>
                <w:rFonts w:ascii="宋体" w:hAnsi="宋体"/>
                <w:b/>
                <w:color w:val="000000" w:themeColor="text1"/>
                <w:sz w:val="20"/>
                <w:szCs w:val="20"/>
              </w:rPr>
            </w:pPr>
            <w:r>
              <w:rPr>
                <w:rFonts w:ascii="宋体" w:hAnsi="宋体"/>
                <w:b/>
                <w:color w:val="000000" w:themeColor="text1"/>
                <w:sz w:val="20"/>
                <w:szCs w:val="20"/>
              </w:rPr>
              <w:t>E：18.04.01</w:t>
            </w:r>
          </w:p>
          <w:p>
            <w:pPr>
              <w:spacing w:line="320" w:lineRule="exact"/>
              <w:rPr>
                <w:rFonts w:ascii="宋体" w:hAnsi="宋体"/>
                <w:b/>
                <w:color w:val="000000" w:themeColor="text1"/>
                <w:sz w:val="20"/>
                <w:szCs w:val="20"/>
              </w:rPr>
            </w:pPr>
            <w:r>
              <w:rPr>
                <w:rFonts w:ascii="宋体" w:hAnsi="宋体"/>
                <w:b/>
                <w:color w:val="000000" w:themeColor="text1"/>
                <w:sz w:val="20"/>
                <w:szCs w:val="20"/>
              </w:rPr>
              <w:t>O：18.04.01</w:t>
            </w:r>
            <w:bookmarkEnd w:id="20"/>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cs="宋体" w:hAnsiTheme="minorHAnsi"/>
                <w:color w:val="000000" w:themeColor="text1"/>
                <w:kern w:val="0"/>
                <w:sz w:val="20"/>
                <w:szCs w:val="20"/>
                <w:lang w:val="en-US"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1" w:name="体系运行时间"/>
            <w:r>
              <w:rPr>
                <w:rFonts w:ascii="宋体" w:hAnsi="宋体"/>
                <w:b/>
                <w:color w:val="000000" w:themeColor="text1"/>
                <w:sz w:val="20"/>
                <w:szCs w:val="20"/>
              </w:rPr>
              <w:t>2020-04-15 0:00:00</w:t>
            </w:r>
            <w:bookmarkEnd w:id="21"/>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行政部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生产部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lang w:val="en-US" w:eastAsia="zh-CN"/>
              </w:rPr>
              <w:t>产品生产；</w:t>
            </w:r>
            <w:r>
              <w:rPr>
                <w:rFonts w:hint="eastAsia" w:ascii="宋体" w:hAnsi="宋体"/>
                <w:b/>
                <w:color w:val="000000" w:themeColor="text1"/>
                <w:sz w:val="20"/>
                <w:szCs w:val="20"/>
              </w:rPr>
              <w:t>产品</w:t>
            </w:r>
            <w:r>
              <w:rPr>
                <w:rFonts w:hint="eastAsia" w:ascii="宋体" w:hAnsi="宋体"/>
                <w:b/>
                <w:color w:val="000000" w:themeColor="text1"/>
                <w:sz w:val="20"/>
                <w:szCs w:val="20"/>
                <w:lang w:val="en-US" w:eastAsia="zh-CN"/>
              </w:rPr>
              <w:t>设计</w:t>
            </w:r>
            <w:r>
              <w:rPr>
                <w:rFonts w:hint="eastAsia" w:ascii="宋体" w:hAnsi="宋体"/>
                <w:b/>
                <w:color w:val="000000" w:themeColor="text1"/>
                <w:sz w:val="20"/>
                <w:szCs w:val="20"/>
              </w:rPr>
              <w:t>；不合格品控制；纠正和预防措施控制；策划管理；过程监控管理；产品验收管理；监视和测量设备管理；</w:t>
            </w:r>
            <w:r>
              <w:rPr>
                <w:rFonts w:hint="eastAsia" w:ascii="宋体" w:hAnsi="宋体"/>
                <w:b/>
                <w:color w:val="000000" w:themeColor="text1"/>
                <w:sz w:val="20"/>
                <w:szCs w:val="20"/>
                <w:lang w:val="en-US" w:eastAsia="zh-CN"/>
              </w:rPr>
              <w:t>生产</w:t>
            </w:r>
            <w:r>
              <w:rPr>
                <w:rFonts w:hint="eastAsia" w:ascii="宋体" w:hAnsi="宋体"/>
                <w:b/>
                <w:color w:val="000000" w:themeColor="text1"/>
                <w:sz w:val="20"/>
                <w:szCs w:val="20"/>
              </w:rPr>
              <w:t>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销售部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合同管理；客户管理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资材部</w:t>
            </w:r>
          </w:p>
        </w:tc>
        <w:tc>
          <w:tcPr>
            <w:tcW w:w="6804" w:type="dxa"/>
          </w:tcPr>
          <w:p>
            <w:pPr>
              <w:jc w:val="both"/>
              <w:rPr>
                <w:rFonts w:ascii="宋体" w:hAnsi="宋体"/>
                <w:b/>
                <w:color w:val="000000" w:themeColor="text1"/>
                <w:spacing w:val="-20"/>
                <w:sz w:val="20"/>
                <w:szCs w:val="20"/>
                <w:u w:val="single"/>
              </w:rPr>
            </w:pPr>
            <w:r>
              <w:rPr>
                <w:rFonts w:hint="eastAsia" w:ascii="宋体" w:hAnsi="宋体"/>
                <w:b/>
                <w:color w:val="000000" w:themeColor="text1"/>
                <w:sz w:val="20"/>
                <w:szCs w:val="20"/>
              </w:rPr>
              <w:t>采购管理；供方管理</w:t>
            </w:r>
            <w:r>
              <w:rPr>
                <w:rFonts w:hint="eastAsia" w:ascii="宋体" w:hAnsi="宋体"/>
                <w:b/>
                <w:color w:val="000000" w:themeColor="text1"/>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金属切削机床制造</w:t>
            </w:r>
          </w:p>
        </w:tc>
        <w:tc>
          <w:tcPr>
            <w:tcW w:w="2519"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产品</w:t>
            </w: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b/>
                <w:color w:val="000000" w:themeColor="text1"/>
                <w:sz w:val="20"/>
                <w:szCs w:val="20"/>
              </w:rPr>
              <w:t>中华人民共和国劳动合同法、</w:t>
            </w:r>
            <w:r>
              <w:rPr>
                <w:rFonts w:hint="eastAsia"/>
                <w:b/>
                <w:color w:val="000000" w:themeColor="text1"/>
                <w:sz w:val="20"/>
                <w:szCs w:val="20"/>
                <w:lang w:val="en-US" w:eastAsia="zh-CN"/>
              </w:rPr>
              <w:t>中华人民共和国环境保护法、中华人民共和国环境影响评价法、中华人民共和国大气污染防治法、中华人民共和国环境噪声污染防治法、中华人民共和国固体废物污染防治法、中华人民共和国水污染防治法中华人民共和国消防法、</w:t>
            </w:r>
            <w:r>
              <w:rPr>
                <w:rFonts w:hint="eastAsia"/>
                <w:b/>
                <w:color w:val="000000" w:themeColor="text1"/>
                <w:sz w:val="20"/>
                <w:szCs w:val="20"/>
              </w:rPr>
              <w:t>中华人民共和国消费者权益保护法、欺诈消费者行为处罚办法</w:t>
            </w:r>
            <w:r>
              <w:rPr>
                <w:rFonts w:hint="eastAsia"/>
                <w:b/>
                <w:color w:val="000000" w:themeColor="text1"/>
                <w:sz w:val="20"/>
                <w:szCs w:val="20"/>
                <w:lang w:eastAsia="zh-CN"/>
              </w:rPr>
              <w:t>、</w:t>
            </w:r>
            <w:r>
              <w:rPr>
                <w:rFonts w:hint="eastAsia" w:eastAsia="宋体"/>
                <w:b/>
                <w:color w:val="000000" w:themeColor="text1"/>
                <w:sz w:val="20"/>
                <w:szCs w:val="20"/>
                <w:lang w:val="en-US" w:eastAsia="zh-CN"/>
              </w:rPr>
              <w:t>数控车床和车削中心检验条件　第2部分：立式机床几何精度检验GB/T16462.2-2017、</w:t>
            </w:r>
            <w:r>
              <w:rPr>
                <w:rFonts w:hint="eastAsia" w:eastAsia="宋体"/>
                <w:b/>
                <w:color w:val="000000" w:themeColor="text1"/>
                <w:sz w:val="20"/>
                <w:szCs w:val="20"/>
                <w:lang w:val="en-US" w:eastAsia="zh-CN"/>
              </w:rPr>
              <w:fldChar w:fldCharType="begin"/>
            </w:r>
            <w:r>
              <w:rPr>
                <w:rFonts w:hint="eastAsia" w:eastAsia="宋体"/>
                <w:b/>
                <w:color w:val="000000" w:themeColor="text1"/>
                <w:sz w:val="20"/>
                <w:szCs w:val="20"/>
                <w:lang w:val="en-US" w:eastAsia="zh-CN"/>
              </w:rPr>
              <w:instrText xml:space="preserve"> HYPERLINK "http://www.baidu.com/link?url=rUxcBMuBY9fF4lVA_S6q3bfFG7cLlzWsKsMajFw2yMDtpwaZ8E22QhFoVIhkXwxc" \t "_blank" </w:instrText>
            </w:r>
            <w:r>
              <w:rPr>
                <w:rFonts w:hint="eastAsia" w:eastAsia="宋体"/>
                <w:b/>
                <w:color w:val="000000" w:themeColor="text1"/>
                <w:sz w:val="20"/>
                <w:szCs w:val="20"/>
                <w:lang w:val="en-US" w:eastAsia="zh-CN"/>
              </w:rPr>
              <w:fldChar w:fldCharType="separate"/>
            </w:r>
            <w:r>
              <w:rPr>
                <w:rFonts w:hint="eastAsia" w:eastAsia="宋体"/>
                <w:b/>
                <w:color w:val="000000" w:themeColor="text1"/>
                <w:sz w:val="20"/>
                <w:szCs w:val="20"/>
                <w:lang w:val="en-US" w:eastAsia="zh-CN"/>
              </w:rPr>
              <w:t>热轧扁钢尺寸、外形、重量及允许偏差</w:t>
            </w:r>
            <w:r>
              <w:rPr>
                <w:rFonts w:hint="eastAsia" w:eastAsia="宋体"/>
                <w:b/>
                <w:color w:val="000000" w:themeColor="text1"/>
                <w:sz w:val="20"/>
                <w:szCs w:val="20"/>
                <w:lang w:val="en-US" w:eastAsia="zh-CN"/>
              </w:rPr>
              <w:fldChar w:fldCharType="end"/>
            </w:r>
            <w:r>
              <w:rPr>
                <w:rFonts w:hint="eastAsia" w:eastAsia="宋体"/>
                <w:b/>
                <w:color w:val="000000" w:themeColor="text1"/>
                <w:sz w:val="20"/>
                <w:szCs w:val="20"/>
                <w:lang w:val="en-US" w:eastAsia="zh-CN"/>
              </w:rPr>
              <w:t>GB 704-2008、机械加工工艺装备基本术语GB/T 1008-2008、机械加工设备一般安全要求GB 12266-1990 、一般公差 未注公差的线性和角度</w:t>
            </w:r>
            <w:r>
              <w:rPr>
                <w:rFonts w:hint="eastAsia" w:eastAsia="宋体"/>
                <w:b/>
                <w:color w:val="000000" w:themeColor="text1"/>
                <w:sz w:val="20"/>
                <w:szCs w:val="20"/>
                <w:lang w:val="en-US" w:eastAsia="zh-CN"/>
              </w:rPr>
              <w:fldChar w:fldCharType="begin"/>
            </w:r>
            <w:r>
              <w:rPr>
                <w:rFonts w:hint="eastAsia" w:eastAsia="宋体"/>
                <w:b/>
                <w:color w:val="000000" w:themeColor="text1"/>
                <w:sz w:val="20"/>
                <w:szCs w:val="20"/>
                <w:lang w:val="en-US" w:eastAsia="zh-CN"/>
              </w:rPr>
              <w:instrText xml:space="preserve"> HYPERLINK "http://www.so.com/s?q=%E5%B0%BA%E5%AF%B8&amp;ie=utf-8&amp;src=internal_wenda_recommend_textn" \t "http://wenda.so.com/q/_blank" </w:instrText>
            </w:r>
            <w:r>
              <w:rPr>
                <w:rFonts w:hint="eastAsia" w:eastAsia="宋体"/>
                <w:b/>
                <w:color w:val="000000" w:themeColor="text1"/>
                <w:sz w:val="20"/>
                <w:szCs w:val="20"/>
                <w:lang w:val="en-US" w:eastAsia="zh-CN"/>
              </w:rPr>
              <w:fldChar w:fldCharType="separate"/>
            </w:r>
            <w:r>
              <w:rPr>
                <w:rFonts w:hint="eastAsia" w:eastAsia="宋体"/>
                <w:b/>
                <w:color w:val="000000" w:themeColor="text1"/>
                <w:sz w:val="20"/>
                <w:szCs w:val="20"/>
                <w:lang w:val="en-US" w:eastAsia="zh-CN"/>
              </w:rPr>
              <w:t>尺寸</w:t>
            </w:r>
            <w:r>
              <w:rPr>
                <w:rFonts w:hint="eastAsia" w:eastAsia="宋体"/>
                <w:b/>
                <w:color w:val="000000" w:themeColor="text1"/>
                <w:sz w:val="20"/>
                <w:szCs w:val="20"/>
                <w:lang w:val="en-US" w:eastAsia="zh-CN"/>
              </w:rPr>
              <w:fldChar w:fldCharType="end"/>
            </w:r>
            <w:r>
              <w:rPr>
                <w:rFonts w:hint="eastAsia" w:eastAsia="宋体"/>
                <w:b/>
                <w:color w:val="000000" w:themeColor="text1"/>
                <w:sz w:val="20"/>
                <w:szCs w:val="20"/>
                <w:lang w:val="en-US" w:eastAsia="zh-CN"/>
              </w:rPr>
              <w:t>的公差GB/T 1804-2000、形状和位置公差未注公差值GB/T 1184-1996、铸铁件通用技术标准GB/T 9439-2010等</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4</w:t>
      </w:r>
      <w:r>
        <w:rPr>
          <w:rFonts w:hint="eastAsia"/>
          <w:b/>
          <w:color w:val="000000" w:themeColor="text1"/>
          <w:spacing w:val="-10"/>
          <w:szCs w:val="21"/>
        </w:rPr>
        <w:t>月</w:t>
      </w:r>
      <w:bookmarkStart w:id="22" w:name="OLE_LINK1"/>
      <w:r>
        <w:rPr>
          <w:rFonts w:hint="eastAsia"/>
          <w:b/>
          <w:color w:val="000000" w:themeColor="text1"/>
          <w:spacing w:val="-10"/>
          <w:szCs w:val="21"/>
          <w:lang w:val="en-US" w:eastAsia="zh-CN"/>
        </w:rPr>
        <w:t>15</w:t>
      </w:r>
      <w:r>
        <w:rPr>
          <w:rFonts w:hint="eastAsia"/>
          <w:b/>
          <w:color w:val="000000" w:themeColor="text1"/>
          <w:spacing w:val="-10"/>
          <w:szCs w:val="21"/>
        </w:rPr>
        <w:t>日</w:t>
      </w:r>
      <w:bookmarkEnd w:id="22"/>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11</w:t>
      </w:r>
      <w:r>
        <w:rPr>
          <w:rFonts w:hint="eastAsia"/>
          <w:b/>
          <w:color w:val="000000" w:themeColor="text1"/>
          <w:spacing w:val="-10"/>
          <w:szCs w:val="21"/>
        </w:rPr>
        <w:t>月</w:t>
      </w:r>
      <w:r>
        <w:rPr>
          <w:rFonts w:hint="eastAsia"/>
          <w:b/>
          <w:color w:val="000000" w:themeColor="text1"/>
          <w:spacing w:val="-10"/>
          <w:szCs w:val="21"/>
          <w:lang w:val="en-US" w:eastAsia="zh-CN"/>
        </w:rPr>
        <w:t>19</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lang w:val="en-US" w:eastAsia="zh-CN"/>
        </w:rPr>
        <w:t xml:space="preserve"> </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vAlign w:val="top"/>
          </w:tcPr>
          <w:p>
            <w:pPr>
              <w:spacing w:line="240" w:lineRule="exact"/>
              <w:rPr>
                <w:rFonts w:hint="eastAsia"/>
                <w:b/>
                <w:color w:val="000000" w:themeColor="text1"/>
                <w:sz w:val="21"/>
                <w:szCs w:val="21"/>
              </w:rPr>
            </w:pPr>
            <w:r>
              <w:rPr>
                <w:b/>
                <w:color w:val="000000" w:themeColor="text1"/>
                <w:sz w:val="21"/>
                <w:szCs w:val="21"/>
              </w:rPr>
              <w:t>1、</w:t>
            </w:r>
            <w:r>
              <w:rPr>
                <w:rFonts w:hint="eastAsia"/>
                <w:b/>
                <w:color w:val="000000" w:themeColor="text1"/>
                <w:sz w:val="21"/>
                <w:szCs w:val="21"/>
              </w:rPr>
              <w:t>组织及其环境的识别情况</w:t>
            </w:r>
          </w:p>
          <w:p>
            <w:pPr>
              <w:spacing w:line="240" w:lineRule="exact"/>
              <w:rPr>
                <w:rFonts w:hint="eastAsia" w:ascii="Times New Roman" w:hAnsi="Times New Roman" w:eastAsia="宋体" w:cs="Times New Roman"/>
                <w:b/>
                <w:color w:val="000000" w:themeColor="text1"/>
                <w:kern w:val="2"/>
                <w:sz w:val="21"/>
                <w:szCs w:val="21"/>
                <w:lang w:val="en-US" w:eastAsia="zh-CN" w:bidi="ar-SA"/>
              </w:rPr>
            </w:pPr>
            <w:r>
              <w:rPr>
                <w:rFonts w:hint="eastAsia" w:ascii="宋体" w:hAnsi="宋体"/>
                <w:color w:val="000000" w:themeColor="text1"/>
                <w:sz w:val="21"/>
                <w:szCs w:val="21"/>
              </w:rPr>
              <w:t>组织对内外部因素、相关方需求和期望进行了充分的识别，策划和实施有效。组织确定了体系的边界，基本适用。管理体系全条款适用</w:t>
            </w:r>
            <w:r>
              <w:rPr>
                <w:rFonts w:hint="eastAsia" w:ascii="华文楷体" w:hAnsi="华文楷体" w:eastAsia="华文楷体"/>
                <w:bCs/>
                <w:i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numPr>
                <w:ilvl w:val="0"/>
                <w:numId w:val="2"/>
              </w:numPr>
              <w:spacing w:line="240" w:lineRule="exact"/>
              <w:rPr>
                <w:rFonts w:hint="eastAsia"/>
                <w:b/>
                <w:color w:val="000000" w:themeColor="text1"/>
                <w:sz w:val="21"/>
                <w:szCs w:val="21"/>
              </w:rPr>
            </w:pPr>
            <w:r>
              <w:rPr>
                <w:rFonts w:hint="eastAsia"/>
                <w:b/>
                <w:color w:val="000000" w:themeColor="text1"/>
                <w:sz w:val="21"/>
                <w:szCs w:val="21"/>
              </w:rPr>
              <w:t>相关方需求和期望识别情况</w:t>
            </w:r>
          </w:p>
          <w:p>
            <w:pPr>
              <w:numPr>
                <w:ilvl w:val="0"/>
                <w:numId w:val="0"/>
              </w:numPr>
              <w:spacing w:line="240" w:lineRule="exact"/>
              <w:ind w:left="0" w:leftChars="0" w:firstLine="0" w:firstLineChars="0"/>
              <w:rPr>
                <w:rFonts w:hint="eastAsia" w:ascii="Times New Roman" w:hAnsi="Times New Roman" w:eastAsia="宋体" w:cs="Times New Roman"/>
                <w:b/>
                <w:color w:val="000000" w:themeColor="text1"/>
                <w:kern w:val="2"/>
                <w:sz w:val="21"/>
                <w:szCs w:val="21"/>
                <w:lang w:val="en-US" w:eastAsia="zh-CN" w:bidi="ar-SA"/>
              </w:rPr>
            </w:pPr>
            <w:r>
              <w:rPr>
                <w:rFonts w:hint="eastAsia" w:ascii="宋体" w:hAnsi="宋体" w:cs="宋体"/>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lang w:eastAsia="zh-CN"/>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40" w:lineRule="exact"/>
              <w:ind w:left="199" w:leftChars="95"/>
              <w:jc w:val="left"/>
              <w:rPr>
                <w:rFonts w:hint="eastAsia" w:ascii="宋体" w:hAnsi="宋体"/>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spacing w:line="240" w:lineRule="exact"/>
              <w:ind w:left="199" w:leftChars="95"/>
              <w:jc w:val="left"/>
              <w:rPr>
                <w:rFonts w:hint="eastAsia" w:ascii="宋体" w:hAnsi="宋体"/>
                <w:color w:val="000000" w:themeColor="text1"/>
              </w:rPr>
            </w:pPr>
            <w:r>
              <w:rPr>
                <w:rFonts w:hint="eastAsia" w:ascii="宋体" w:hAnsi="宋体"/>
                <w:color w:val="000000" w:themeColor="text1"/>
              </w:rPr>
              <w:t>质量方针：精益求精 创“晨田”新优势</w:t>
            </w:r>
          </w:p>
          <w:p>
            <w:pPr>
              <w:spacing w:line="240" w:lineRule="exact"/>
              <w:ind w:left="199" w:leftChars="95"/>
              <w:jc w:val="left"/>
              <w:rPr>
                <w:rFonts w:hint="eastAsia" w:ascii="宋体" w:hAnsi="宋体"/>
                <w:color w:val="000000" w:themeColor="text1"/>
              </w:rPr>
            </w:pPr>
            <w:r>
              <w:rPr>
                <w:rFonts w:hint="eastAsia" w:ascii="宋体" w:hAnsi="宋体"/>
                <w:color w:val="000000" w:themeColor="text1"/>
              </w:rPr>
              <w:t>环境方针：坚持走可持续发展之路，倡导绿色环保思想，遵守法律法规，从产品生产到服务的全过程中，实行污染预防和持续改进。</w:t>
            </w:r>
          </w:p>
          <w:p>
            <w:pPr>
              <w:spacing w:line="240" w:lineRule="exact"/>
              <w:ind w:left="199" w:leftChars="95"/>
              <w:jc w:val="left"/>
              <w:rPr>
                <w:b/>
                <w:color w:val="000000" w:themeColor="text1"/>
              </w:rPr>
            </w:pPr>
            <w:r>
              <w:rPr>
                <w:rFonts w:hint="eastAsia" w:ascii="宋体" w:hAnsi="宋体"/>
                <w:color w:val="000000" w:themeColor="text1"/>
              </w:rPr>
              <w:t>职业健康安全管理方针：保障健康、安全生产、以人为本、永续发展、遵守法规、持续改进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numPr>
                <w:ilvl w:val="0"/>
                <w:numId w:val="2"/>
              </w:numPr>
              <w:spacing w:line="240" w:lineRule="exact"/>
              <w:ind w:left="0" w:leftChars="0" w:firstLine="0" w:firstLineChars="0"/>
              <w:rPr>
                <w:rFonts w:hint="eastAsia"/>
                <w:b/>
                <w:color w:val="000000" w:themeColor="text1"/>
              </w:rPr>
            </w:pPr>
            <w:r>
              <w:rPr>
                <w:rFonts w:hint="eastAsia"/>
                <w:b/>
                <w:color w:val="000000" w:themeColor="text1"/>
              </w:rPr>
              <w:t>风险识别与控制策划（QMS）</w:t>
            </w:r>
          </w:p>
          <w:p>
            <w:pPr>
              <w:numPr>
                <w:ilvl w:val="0"/>
                <w:numId w:val="0"/>
              </w:numPr>
              <w:spacing w:line="240" w:lineRule="exact"/>
              <w:ind w:left="0" w:leftChars="0" w:firstLine="0" w:firstLineChars="0"/>
              <w:rPr>
                <w:rFonts w:hint="eastAsia" w:ascii="Times New Roman" w:hAnsi="Times New Roman" w:eastAsia="宋体" w:cs="Times New Roman"/>
                <w:b/>
                <w:color w:val="000000" w:themeColor="text1"/>
                <w:kern w:val="2"/>
                <w:sz w:val="21"/>
                <w:szCs w:val="24"/>
                <w:lang w:val="en-US" w:eastAsia="zh-CN" w:bidi="ar-SA"/>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lang w:val="en-US" w:eastAsia="zh-CN"/>
              </w:rPr>
              <w:t>生产</w:t>
            </w:r>
            <w:r>
              <w:rPr>
                <w:rFonts w:hint="eastAsia" w:ascii="宋体" w:hAnsi="宋体"/>
                <w:color w:val="000000" w:themeColor="text1"/>
              </w:rPr>
              <w:t>过程包括</w:t>
            </w:r>
            <w:r>
              <w:rPr>
                <w:rFonts w:hint="eastAsia" w:ascii="宋体" w:hAnsi="宋体"/>
                <w:color w:val="000000" w:themeColor="text1"/>
                <w:lang w:val="en-US" w:eastAsia="zh-CN"/>
              </w:rPr>
              <w:t>计</w:t>
            </w:r>
            <w:r>
              <w:rPr>
                <w:rFonts w:hint="eastAsia" w:ascii="宋体" w:hAnsi="宋体"/>
                <w:color w:val="000000" w:themeColor="text1"/>
              </w:rPr>
              <w:t>划、准备、实施</w:t>
            </w:r>
            <w:r>
              <w:rPr>
                <w:rFonts w:hint="eastAsia" w:ascii="宋体" w:hAnsi="宋体"/>
                <w:color w:val="000000" w:themeColor="text1"/>
                <w:lang w:val="en-US" w:eastAsia="zh-CN"/>
              </w:rPr>
              <w:t>生产</w:t>
            </w:r>
            <w:r>
              <w:rPr>
                <w:rFonts w:hint="eastAsia" w:ascii="宋体" w:hAnsi="宋体"/>
                <w:color w:val="000000" w:themeColor="text1"/>
              </w:rPr>
              <w:t>、</w:t>
            </w:r>
            <w:r>
              <w:rPr>
                <w:rFonts w:hint="eastAsia" w:ascii="宋体" w:hAnsi="宋体"/>
                <w:color w:val="000000" w:themeColor="text1"/>
                <w:lang w:val="en-US" w:eastAsia="zh-CN"/>
              </w:rPr>
              <w:t>检验</w:t>
            </w:r>
            <w:r>
              <w:rPr>
                <w:rFonts w:hint="eastAsia" w:ascii="宋体" w:hAnsi="宋体"/>
                <w:color w:val="000000" w:themeColor="text1"/>
              </w:rPr>
              <w:t>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5"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hint="eastAsia" w:ascii="宋体" w:hAnsi="宋体" w:eastAsia="宋体"/>
                <w:b/>
                <w:color w:val="000000" w:themeColor="text1"/>
                <w:sz w:val="20"/>
                <w:szCs w:val="20"/>
                <w:highlight w:val="none"/>
                <w:u w:val="single"/>
                <w:lang w:eastAsia="zh-CN"/>
              </w:rPr>
            </w:pPr>
            <w:r>
              <w:rPr>
                <w:rFonts w:hint="eastAsia" w:ascii="宋体" w:hAnsi="宋体"/>
                <w:b/>
                <w:color w:val="000000" w:themeColor="text1"/>
                <w:sz w:val="20"/>
                <w:szCs w:val="20"/>
              </w:rPr>
              <w:t>质量管理体系过程有</w:t>
            </w:r>
            <w:r>
              <w:rPr>
                <w:rFonts w:hint="eastAsia" w:ascii="宋体" w:hAnsi="宋体"/>
                <w:b/>
                <w:color w:val="000000" w:themeColor="text1"/>
                <w:sz w:val="20"/>
                <w:szCs w:val="20"/>
                <w:highlight w:val="none"/>
              </w:rPr>
              <w:t>：合同评审、</w:t>
            </w:r>
            <w:r>
              <w:rPr>
                <w:rFonts w:hint="eastAsia" w:ascii="宋体" w:hAnsi="宋体"/>
                <w:b/>
                <w:color w:val="000000" w:themeColor="text1"/>
                <w:sz w:val="20"/>
                <w:szCs w:val="20"/>
                <w:highlight w:val="none"/>
                <w:lang w:val="en-US" w:eastAsia="zh-CN"/>
              </w:rPr>
              <w:t>产品设计、材料</w:t>
            </w:r>
            <w:r>
              <w:rPr>
                <w:rFonts w:hint="eastAsia" w:ascii="宋体" w:hAnsi="宋体"/>
                <w:b/>
                <w:color w:val="000000" w:themeColor="text1"/>
                <w:sz w:val="20"/>
                <w:szCs w:val="20"/>
                <w:highlight w:val="none"/>
              </w:rPr>
              <w:t>采购、</w:t>
            </w:r>
            <w:r>
              <w:rPr>
                <w:rFonts w:hint="eastAsia" w:ascii="宋体" w:hAnsi="宋体"/>
                <w:b/>
                <w:color w:val="000000" w:themeColor="text1"/>
                <w:sz w:val="20"/>
                <w:szCs w:val="20"/>
                <w:highlight w:val="none"/>
                <w:lang w:val="en-US" w:eastAsia="zh-CN"/>
              </w:rPr>
              <w:t>生产</w:t>
            </w:r>
            <w:r>
              <w:rPr>
                <w:rFonts w:hint="eastAsia" w:ascii="宋体" w:hAnsi="宋体"/>
                <w:b/>
                <w:color w:val="000000" w:themeColor="text1"/>
                <w:sz w:val="20"/>
                <w:szCs w:val="20"/>
                <w:highlight w:val="none"/>
              </w:rPr>
              <w:t>、</w:t>
            </w:r>
            <w:r>
              <w:rPr>
                <w:rFonts w:hint="eastAsia" w:ascii="宋体" w:hAnsi="宋体"/>
                <w:b/>
                <w:color w:val="000000" w:themeColor="text1"/>
                <w:sz w:val="20"/>
                <w:szCs w:val="20"/>
                <w:highlight w:val="none"/>
                <w:lang w:val="en-US" w:eastAsia="zh-CN"/>
              </w:rPr>
              <w:t>检验、交付</w:t>
            </w:r>
            <w:r>
              <w:rPr>
                <w:rFonts w:hint="eastAsia" w:ascii="宋体" w:hAnsi="宋体"/>
                <w:b/>
                <w:color w:val="000000" w:themeColor="text1"/>
                <w:sz w:val="20"/>
                <w:szCs w:val="20"/>
                <w:highlight w:val="none"/>
              </w:rPr>
              <w:t>过程等</w:t>
            </w:r>
            <w:r>
              <w:rPr>
                <w:rFonts w:hint="eastAsia" w:ascii="宋体" w:hAnsi="宋体"/>
                <w:b/>
                <w:color w:val="000000" w:themeColor="text1"/>
                <w:sz w:val="20"/>
                <w:szCs w:val="20"/>
                <w:highlight w:val="none"/>
                <w:lang w:eastAsia="zh-CN"/>
              </w:rPr>
              <w:t>。</w:t>
            </w:r>
          </w:p>
          <w:p>
            <w:pPr>
              <w:tabs>
                <w:tab w:val="left" w:pos="540"/>
              </w:tabs>
              <w:spacing w:line="300" w:lineRule="exact"/>
              <w:ind w:left="201" w:hanging="201" w:hangingChars="100"/>
              <w:rPr>
                <w:rFonts w:hint="eastAsia" w:ascii="宋体" w:hAnsi="宋体" w:eastAsia="宋体"/>
                <w:b/>
                <w:color w:val="000000" w:themeColor="text1"/>
                <w:sz w:val="20"/>
                <w:szCs w:val="20"/>
                <w:highlight w:val="none"/>
                <w:lang w:eastAsia="zh-CN"/>
              </w:rPr>
            </w:pPr>
            <w:r>
              <w:rPr>
                <w:rFonts w:hint="eastAsia" w:ascii="宋体" w:hAnsi="宋体"/>
                <w:b/>
                <w:color w:val="000000" w:themeColor="text1"/>
                <w:sz w:val="20"/>
                <w:szCs w:val="20"/>
                <w:highlight w:val="none"/>
              </w:rPr>
              <w:t>其中关键过程有</w:t>
            </w:r>
            <w:r>
              <w:rPr>
                <w:rFonts w:hint="eastAsia" w:ascii="宋体" w:hAnsi="宋体"/>
                <w:b/>
                <w:color w:val="000000" w:themeColor="text1"/>
                <w:sz w:val="20"/>
                <w:szCs w:val="20"/>
                <w:highlight w:val="none"/>
                <w:lang w:eastAsia="zh-CN"/>
              </w:rPr>
              <w:t>：</w:t>
            </w:r>
            <w:r>
              <w:rPr>
                <w:rFonts w:hint="eastAsia" w:ascii="宋体" w:hAnsi="宋体" w:eastAsia="宋体"/>
                <w:b/>
                <w:color w:val="000000" w:themeColor="text1"/>
                <w:sz w:val="20"/>
                <w:szCs w:val="20"/>
                <w:highlight w:val="none"/>
                <w:lang w:val="en-US" w:eastAsia="zh-CN"/>
              </w:rPr>
              <w:t>设计、精加工、装配</w:t>
            </w:r>
            <w:r>
              <w:rPr>
                <w:rFonts w:hint="eastAsia" w:ascii="宋体" w:hAnsi="宋体" w:eastAsia="宋体"/>
                <w:b/>
                <w:color w:val="000000" w:themeColor="text1"/>
                <w:sz w:val="20"/>
                <w:szCs w:val="20"/>
                <w:highlight w:val="none"/>
              </w:rPr>
              <w:t>为关键过程</w:t>
            </w:r>
            <w:r>
              <w:rPr>
                <w:rFonts w:hint="eastAsia" w:ascii="宋体" w:hAnsi="宋体" w:eastAsia="宋体"/>
                <w:b/>
                <w:color w:val="000000" w:themeColor="text1"/>
                <w:sz w:val="20"/>
                <w:szCs w:val="20"/>
                <w:highlight w:val="none"/>
                <w:lang w:eastAsia="zh-CN"/>
              </w:rPr>
              <w:t>。</w:t>
            </w:r>
          </w:p>
          <w:p>
            <w:pPr>
              <w:tabs>
                <w:tab w:val="left" w:pos="540"/>
              </w:tabs>
              <w:spacing w:line="300" w:lineRule="exact"/>
              <w:ind w:left="201" w:hanging="201" w:hangingChars="100"/>
              <w:rPr>
                <w:rFonts w:hint="eastAsia" w:ascii="宋体" w:hAnsi="宋体" w:eastAsia="宋体"/>
                <w:b/>
                <w:color w:val="000000" w:themeColor="text1"/>
                <w:sz w:val="20"/>
                <w:szCs w:val="20"/>
                <w:highlight w:val="none"/>
              </w:rPr>
            </w:pPr>
            <w:r>
              <w:rPr>
                <w:rFonts w:hint="eastAsia" w:ascii="宋体" w:hAnsi="宋体" w:eastAsia="宋体"/>
                <w:b/>
                <w:color w:val="000000" w:themeColor="text1"/>
                <w:sz w:val="20"/>
                <w:szCs w:val="20"/>
                <w:highlight w:val="none"/>
              </w:rPr>
              <w:t xml:space="preserve">需要确认过程 </w:t>
            </w:r>
            <w:r>
              <w:rPr>
                <w:rFonts w:hint="eastAsia" w:ascii="宋体" w:hAnsi="宋体" w:eastAsia="宋体"/>
                <w:b/>
                <w:color w:val="000000" w:themeColor="text1"/>
                <w:sz w:val="20"/>
                <w:szCs w:val="20"/>
                <w:highlight w:val="none"/>
                <w:lang w:eastAsia="zh-CN"/>
              </w:rPr>
              <w:t>：</w:t>
            </w:r>
            <w:r>
              <w:rPr>
                <w:rFonts w:hint="eastAsia" w:ascii="宋体" w:hAnsi="宋体" w:eastAsia="宋体"/>
                <w:b/>
                <w:color w:val="000000" w:themeColor="text1"/>
                <w:sz w:val="20"/>
                <w:szCs w:val="20"/>
                <w:highlight w:val="none"/>
                <w:lang w:val="en-US" w:eastAsia="zh-CN"/>
              </w:rPr>
              <w:t xml:space="preserve">产品设计。      </w:t>
            </w:r>
            <w:r>
              <w:rPr>
                <w:rFonts w:hint="eastAsia" w:ascii="宋体" w:hAnsi="宋体" w:eastAsia="宋体"/>
                <w:b/>
                <w:color w:val="000000" w:themeColor="text1"/>
                <w:sz w:val="20"/>
                <w:szCs w:val="20"/>
                <w:highlight w:val="none"/>
              </w:rPr>
              <w:t xml:space="preserve">   </w:t>
            </w:r>
          </w:p>
          <w:p>
            <w:pPr>
              <w:tabs>
                <w:tab w:val="left" w:pos="540"/>
              </w:tabs>
              <w:spacing w:line="300" w:lineRule="exact"/>
              <w:ind w:left="201" w:hanging="201" w:hangingChars="100"/>
              <w:rPr>
                <w:rFonts w:ascii="宋体" w:hAnsi="宋体" w:eastAsia="宋体" w:cs="Times New Roman"/>
                <w:b/>
                <w:color w:val="000000" w:themeColor="text1"/>
                <w:kern w:val="2"/>
                <w:sz w:val="21"/>
                <w:szCs w:val="21"/>
                <w:lang w:val="en-US" w:eastAsia="zh-CN" w:bidi="ar-SA"/>
              </w:rPr>
            </w:pPr>
            <w:r>
              <w:rPr>
                <w:b/>
                <w:color w:val="000000" w:themeColor="text1"/>
                <w:sz w:val="20"/>
                <w:szCs w:val="20"/>
                <w:highlight w:val="none"/>
              </w:rPr>
              <w:pict>
                <v:shape id="_x0000_s2052" o:spid="_x0000_s2052" o:spt="32" type="#_x0000_t32" style="position:absolute;left:0pt;margin-left:157.9pt;margin-top:12.75pt;height:0pt;width:261.75pt;z-index:251669504;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highlight w:val="none"/>
              </w:rPr>
              <w:pict>
                <v:shape id="_x0000_s2053" o:spid="_x0000_s2053" o:spt="32" type="#_x0000_t32" style="position:absolute;left:0pt;margin-left:55.15pt;margin-top:12.75pt;height:0pt;width:42pt;z-index:251668480;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highlight w:val="none"/>
              </w:rPr>
              <w:t xml:space="preserve">不适用条款是  </w:t>
            </w:r>
            <w:r>
              <w:rPr>
                <w:rFonts w:hint="eastAsia" w:ascii="宋体" w:hAnsi="宋体"/>
                <w:b/>
                <w:color w:val="000000" w:themeColor="text1"/>
                <w:sz w:val="20"/>
                <w:szCs w:val="20"/>
                <w:highlight w:val="none"/>
                <w:lang w:val="en-US" w:eastAsia="zh-CN"/>
              </w:rPr>
              <w:t>无</w:t>
            </w:r>
            <w:r>
              <w:rPr>
                <w:rFonts w:hint="eastAsia" w:ascii="宋体" w:hAnsi="宋体"/>
                <w:b/>
                <w:color w:val="000000" w:themeColor="text1"/>
                <w:sz w:val="20"/>
                <w:szCs w:val="20"/>
                <w:highlight w:val="none"/>
              </w:rPr>
              <w:t xml:space="preserve">      ，不适用理由： </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rFonts w:ascii="Times New Roman" w:hAnsi="Times New Roman" w:eastAsia="宋体" w:cs="Times New Roman"/>
                <w:b/>
                <w:color w:val="000000" w:themeColor="text1"/>
                <w:kern w:val="2"/>
                <w:sz w:val="20"/>
                <w:szCs w:val="20"/>
                <w:lang w:val="en-US" w:eastAsia="zh-CN" w:bidi="ar-SA"/>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w:t>
            </w:r>
            <w:r>
              <w:rPr>
                <w:rFonts w:hint="eastAsia" w:asciiTheme="minorEastAsia" w:hAnsiTheme="minorEastAsia" w:eastAsiaTheme="minorEastAsia"/>
                <w:bCs/>
                <w:iCs/>
                <w:lang w:val="en-US" w:eastAsia="zh-CN"/>
              </w:rPr>
              <w:t>废水排放控制、噪声控制、</w:t>
            </w:r>
            <w:r>
              <w:rPr>
                <w:rFonts w:hint="eastAsia" w:asciiTheme="minorEastAsia" w:hAnsiTheme="minorEastAsia" w:eastAsiaTheme="minorEastAsia"/>
                <w:bCs/>
                <w:iCs/>
              </w:rPr>
              <w:t>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rPr>
                <w:rFonts w:hint="eastAsia" w:ascii="宋体" w:hAnsi="宋体" w:eastAsia="宋体" w:cs="Times New Roman"/>
                <w:b/>
                <w:color w:val="000000" w:themeColor="text1"/>
                <w:spacing w:val="-8"/>
                <w:kern w:val="2"/>
                <w:sz w:val="20"/>
                <w:szCs w:val="20"/>
                <w:lang w:val="en-US" w:eastAsia="zh-CN" w:bidi="ar-SA"/>
              </w:rPr>
            </w:pPr>
            <w:r>
              <w:rPr>
                <w:rFonts w:hint="eastAsia" w:ascii="宋体" w:hAnsi="宋体"/>
                <w:color w:val="000000" w:themeColor="text1"/>
              </w:rPr>
              <w:t>组织建立了危险源识别、评价控制程序，识别评价了危险源、风险相关的过程，评价出了重要危险源</w:t>
            </w:r>
            <w:r>
              <w:rPr>
                <w:rFonts w:hint="eastAsia" w:ascii="宋体" w:hAnsi="宋体"/>
                <w:color w:val="000000" w:themeColor="text1"/>
                <w:lang w:eastAsia="zh-CN"/>
              </w:rPr>
              <w:t>（机械伤害、火灾、</w:t>
            </w:r>
            <w:r>
              <w:rPr>
                <w:rFonts w:hint="eastAsia" w:ascii="宋体" w:hAnsi="宋体"/>
                <w:color w:val="000000" w:themeColor="text1"/>
                <w:lang w:val="en-US" w:eastAsia="zh-CN"/>
              </w:rPr>
              <w:t>触电</w:t>
            </w:r>
            <w:r>
              <w:rPr>
                <w:rFonts w:hint="eastAsia" w:ascii="宋体" w:hAnsi="宋体"/>
                <w:color w:val="000000" w:themeColor="text1"/>
                <w:lang w:eastAsia="zh-CN"/>
              </w:rPr>
              <w:t>）</w:t>
            </w:r>
            <w:r>
              <w:rPr>
                <w:rFonts w:hint="eastAsia" w:ascii="宋体" w:hAnsi="宋体"/>
                <w:color w:val="000000" w:themeColor="text1"/>
              </w:rPr>
              <w:t>，与之相关的过程有</w:t>
            </w:r>
            <w:r>
              <w:rPr>
                <w:rFonts w:hint="eastAsia" w:ascii="宋体" w:hAnsi="宋体"/>
                <w:color w:val="000000" w:themeColor="text1"/>
                <w:lang w:val="en-US" w:eastAsia="zh-CN"/>
              </w:rPr>
              <w:t>生产</w:t>
            </w:r>
            <w:r>
              <w:rPr>
                <w:rFonts w:hint="eastAsia" w:ascii="宋体" w:hAnsi="宋体"/>
                <w:color w:val="000000" w:themeColor="text1"/>
                <w:lang w:eastAsia="zh-CN"/>
              </w:rPr>
              <w:t>、销售，</w:t>
            </w:r>
            <w:r>
              <w:rPr>
                <w:rFonts w:hint="eastAsia" w:ascii="宋体" w:hAnsi="宋体"/>
                <w:color w:val="000000" w:themeColor="text1"/>
                <w:lang w:val="en-US" w:eastAsia="zh-CN"/>
              </w:rPr>
              <w:t>行政办公</w:t>
            </w:r>
            <w:r>
              <w:rPr>
                <w:rFonts w:hint="eastAsia" w:ascii="宋体" w:hAnsi="宋体"/>
                <w:color w:val="000000" w:themeColor="text1"/>
              </w:rPr>
              <w:t>，针对重要危险源制定了管理方案。控制措施实施有效。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b/>
                <w:color w:val="000000" w:themeColor="text1"/>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pStyle w:val="12"/>
              <w:keepNext w:val="0"/>
              <w:keepLines w:val="0"/>
              <w:pageBreakBefore w:val="0"/>
              <w:widowControl w:val="0"/>
              <w:numPr>
                <w:ilvl w:val="0"/>
                <w:numId w:val="3"/>
              </w:numPr>
              <w:tabs>
                <w:tab w:val="left" w:pos="540"/>
              </w:tabs>
              <w:kinsoku/>
              <w:wordWrap/>
              <w:overflowPunct/>
              <w:topLinePunct w:val="0"/>
              <w:autoSpaceDE/>
              <w:autoSpaceDN/>
              <w:bidi w:val="0"/>
              <w:adjustRightInd/>
              <w:snapToGrid/>
              <w:spacing w:line="240" w:lineRule="auto"/>
              <w:ind w:firstLineChars="0"/>
              <w:textAlignment w:val="auto"/>
              <w:rPr>
                <w:rFonts w:ascii="宋体" w:hAnsi="宋体"/>
                <w:b/>
                <w:color w:val="000000" w:themeColor="text1"/>
                <w:szCs w:val="21"/>
                <w:u w:val="single"/>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2"/>
              <w:keepNext w:val="0"/>
              <w:keepLines w:val="0"/>
              <w:pageBreakBefore w:val="0"/>
              <w:widowControl w:val="0"/>
              <w:numPr>
                <w:ilvl w:val="0"/>
                <w:numId w:val="3"/>
              </w:numPr>
              <w:tabs>
                <w:tab w:val="left" w:pos="540"/>
              </w:tabs>
              <w:kinsoku/>
              <w:wordWrap/>
              <w:overflowPunct/>
              <w:topLinePunct w:val="0"/>
              <w:autoSpaceDE/>
              <w:autoSpaceDN/>
              <w:bidi w:val="0"/>
              <w:adjustRightInd/>
              <w:snapToGrid/>
              <w:spacing w:line="240" w:lineRule="auto"/>
              <w:ind w:firstLineChars="0"/>
              <w:textAlignment w:val="auto"/>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w:t>
            </w:r>
            <w:r>
              <w:rPr>
                <w:rFonts w:hint="eastAsia" w:ascii="宋体" w:hAnsi="宋体"/>
                <w:b/>
                <w:color w:val="000000" w:themeColor="text1"/>
                <w:szCs w:val="21"/>
                <w:lang w:eastAsia="zh-CN"/>
              </w:rPr>
              <w:t>■</w:t>
            </w:r>
            <w:r>
              <w:rPr>
                <w:rFonts w:hint="eastAsia" w:ascii="宋体" w:hAnsi="宋体"/>
                <w:b/>
                <w:color w:val="000000" w:themeColor="text1"/>
                <w:szCs w:val="21"/>
              </w:rPr>
              <w:t>环境因素</w:t>
            </w:r>
            <w:r>
              <w:rPr>
                <w:rFonts w:hint="eastAsia" w:ascii="宋体" w:hAnsi="宋体"/>
                <w:b/>
                <w:color w:val="000000" w:themeColor="text1"/>
                <w:szCs w:val="21"/>
                <w:lang w:eastAsia="zh-CN"/>
              </w:rPr>
              <w:t>■</w:t>
            </w:r>
            <w:r>
              <w:rPr>
                <w:rFonts w:hint="eastAsia" w:ascii="宋体" w:hAnsi="宋体"/>
                <w:b/>
                <w:color w:val="000000" w:themeColor="text1"/>
                <w:szCs w:val="21"/>
              </w:rPr>
              <w:t>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2"/>
              <w:keepNext w:val="0"/>
              <w:keepLines w:val="0"/>
              <w:pageBreakBefore w:val="0"/>
              <w:widowControl w:val="0"/>
              <w:numPr>
                <w:ilvl w:val="0"/>
                <w:numId w:val="3"/>
              </w:numPr>
              <w:tabs>
                <w:tab w:val="left" w:pos="540"/>
              </w:tabs>
              <w:kinsoku/>
              <w:wordWrap/>
              <w:overflowPunct/>
              <w:topLinePunct w:val="0"/>
              <w:autoSpaceDE/>
              <w:autoSpaceDN/>
              <w:bidi w:val="0"/>
              <w:adjustRightInd/>
              <w:snapToGrid/>
              <w:spacing w:line="240" w:lineRule="auto"/>
              <w:ind w:firstLineChars="0"/>
              <w:textAlignment w:val="auto"/>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2"/>
              <w:keepNext w:val="0"/>
              <w:keepLines w:val="0"/>
              <w:pageBreakBefore w:val="0"/>
              <w:widowControl w:val="0"/>
              <w:numPr>
                <w:ilvl w:val="0"/>
                <w:numId w:val="3"/>
              </w:numPr>
              <w:tabs>
                <w:tab w:val="left" w:pos="540"/>
              </w:tabs>
              <w:kinsoku/>
              <w:wordWrap/>
              <w:overflowPunct/>
              <w:topLinePunct w:val="0"/>
              <w:autoSpaceDE/>
              <w:autoSpaceDN/>
              <w:bidi w:val="0"/>
              <w:adjustRightInd/>
              <w:snapToGrid/>
              <w:spacing w:line="240" w:lineRule="auto"/>
              <w:ind w:firstLineChars="0"/>
              <w:textAlignment w:val="auto"/>
              <w:rPr>
                <w:rFonts w:ascii="宋体" w:hAnsi="宋体"/>
                <w:b/>
                <w:color w:val="000000" w:themeColor="text1"/>
                <w:szCs w:val="21"/>
              </w:rPr>
            </w:pPr>
            <w:r>
              <w:rPr>
                <w:rFonts w:hint="eastAsia" w:ascii="宋体" w:hAnsi="宋体"/>
                <w:b/>
                <w:color w:val="000000" w:themeColor="text1"/>
                <w:szCs w:val="21"/>
              </w:rPr>
              <w:t>法律法规要求及时更新了</w:t>
            </w:r>
          </w:p>
          <w:p>
            <w:pPr>
              <w:keepNext w:val="0"/>
              <w:keepLines w:val="0"/>
              <w:pageBreakBefore w:val="0"/>
              <w:widowControl w:val="0"/>
              <w:tabs>
                <w:tab w:val="left" w:pos="0"/>
              </w:tabs>
              <w:kinsoku/>
              <w:wordWrap/>
              <w:overflowPunct/>
              <w:topLinePunct w:val="0"/>
              <w:autoSpaceDE/>
              <w:autoSpaceDN/>
              <w:bidi w:val="0"/>
              <w:adjustRightInd/>
              <w:snapToGrid/>
              <w:spacing w:line="240" w:lineRule="auto"/>
              <w:textAlignment w:val="auto"/>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pPr>
            <w:r>
              <w:rPr>
                <w:rFonts w:hint="eastAsia"/>
              </w:rPr>
              <w:t>5. 目标、方案</w:t>
            </w:r>
          </w:p>
          <w:p>
            <w:pPr>
              <w:spacing w:line="300" w:lineRule="exact"/>
            </w:pPr>
            <w:r>
              <w:rPr>
                <w:rFonts w:hint="eastAsia"/>
              </w:rPr>
              <w:t>（在相关层次上建立可测量的目标，目标、方案的有效性，对质量目标的实现情况进行评价并叙述测量方法）</w:t>
            </w:r>
          </w:p>
          <w:p>
            <w:pPr>
              <w:spacing w:line="300" w:lineRule="exact"/>
              <w:ind w:firstLine="420" w:firstLineChars="200"/>
            </w:pPr>
            <w:r>
              <w:rPr>
                <w:rFonts w:hint="eastAsia"/>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default"/>
                <w:lang w:val="en-US" w:eastAsia="zh-CN"/>
              </w:rPr>
            </w:pPr>
            <w:r>
              <w:rPr>
                <w:rFonts w:hint="eastAsia"/>
              </w:rPr>
              <w:t>管理目标、指标的实现情况：</w:t>
            </w:r>
            <w:r>
              <w:rPr>
                <w:rFonts w:hint="eastAsia"/>
                <w:lang w:val="en-US" w:eastAsia="zh-CN"/>
              </w:rPr>
              <w:t xml:space="preserve">               考核情况（2020年4月-10月）</w:t>
            </w:r>
          </w:p>
          <w:p>
            <w:pPr>
              <w:spacing w:line="240" w:lineRule="exact"/>
              <w:rPr>
                <w:rFonts w:hint="default"/>
                <w:lang w:val="en-US" w:eastAsia="zh-CN"/>
              </w:rPr>
            </w:pPr>
            <w:r>
              <w:rPr>
                <w:rFonts w:hint="eastAsia"/>
                <w:lang w:val="en-US" w:eastAsia="zh-CN"/>
              </w:rPr>
              <w:t>1) 产品交付合格率100%；                 实际结果：产品交付合格率100%</w:t>
            </w:r>
          </w:p>
          <w:p>
            <w:pPr>
              <w:spacing w:line="240" w:lineRule="exact"/>
              <w:rPr>
                <w:rFonts w:hint="default"/>
                <w:lang w:val="en-US" w:eastAsia="zh-CN"/>
              </w:rPr>
            </w:pPr>
            <w:r>
              <w:rPr>
                <w:rFonts w:hint="eastAsia"/>
                <w:lang w:val="en-US" w:eastAsia="zh-CN"/>
              </w:rPr>
              <w:t>2) 顾客满意率≥9</w:t>
            </w:r>
            <w:r>
              <w:rPr>
                <w:lang w:val="en-US" w:eastAsia="zh-CN"/>
              </w:rPr>
              <w:t>6</w:t>
            </w:r>
            <w:r>
              <w:rPr>
                <w:rFonts w:hint="eastAsia"/>
                <w:lang w:val="en-US" w:eastAsia="zh-CN"/>
              </w:rPr>
              <w:t>分；                   实际结果：顾客满意率9</w:t>
            </w:r>
            <w:r>
              <w:rPr>
                <w:lang w:val="en-US" w:eastAsia="zh-CN"/>
              </w:rPr>
              <w:t>6</w:t>
            </w:r>
            <w:r>
              <w:rPr>
                <w:rFonts w:hint="eastAsia"/>
                <w:lang w:val="en-US" w:eastAsia="zh-CN"/>
              </w:rPr>
              <w:t>分</w:t>
            </w:r>
          </w:p>
          <w:p>
            <w:pPr>
              <w:spacing w:line="240" w:lineRule="exact"/>
              <w:rPr>
                <w:rFonts w:hint="default"/>
                <w:lang w:val="en-US" w:eastAsia="zh-CN"/>
              </w:rPr>
            </w:pPr>
            <w:r>
              <w:rPr>
                <w:lang w:val="en-US" w:eastAsia="zh-CN"/>
              </w:rPr>
              <w:t>3</w:t>
            </w:r>
            <w:r>
              <w:rPr>
                <w:rFonts w:hint="eastAsia"/>
                <w:lang w:val="en-US" w:eastAsia="zh-CN"/>
              </w:rPr>
              <w:t>） 合同按时完成率100%；                  实际结果：合同按时完成率100%</w:t>
            </w:r>
          </w:p>
          <w:p>
            <w:pPr>
              <w:spacing w:line="240" w:lineRule="exact"/>
              <w:rPr>
                <w:rFonts w:hint="default"/>
                <w:lang w:val="en-US" w:eastAsia="zh-CN"/>
              </w:rPr>
            </w:pPr>
            <w:r>
              <w:rPr>
                <w:rFonts w:hint="eastAsia"/>
                <w:lang w:val="en-US" w:eastAsia="zh-CN"/>
              </w:rPr>
              <w:t>4) 生产废弃物分类收集处理率100%；        实际结果：生产废弃物分类收集处理率100%</w:t>
            </w:r>
          </w:p>
          <w:p>
            <w:pPr>
              <w:spacing w:line="240" w:lineRule="exact"/>
              <w:rPr>
                <w:rFonts w:hint="default"/>
                <w:lang w:val="en-US" w:eastAsia="zh-CN"/>
              </w:rPr>
            </w:pPr>
            <w:r>
              <w:rPr>
                <w:rFonts w:hint="eastAsia"/>
                <w:lang w:val="en-US" w:eastAsia="zh-CN"/>
              </w:rPr>
              <w:t>5) 职业病发生率为0；                     实际结果：职业病发生率为0</w:t>
            </w:r>
          </w:p>
          <w:p>
            <w:pPr>
              <w:spacing w:line="240" w:lineRule="exact"/>
              <w:rPr>
                <w:rFonts w:hint="default"/>
                <w:lang w:val="en-US" w:eastAsia="zh-CN"/>
              </w:rPr>
            </w:pPr>
            <w:r>
              <w:rPr>
                <w:rFonts w:hint="eastAsia"/>
                <w:lang w:val="en-US" w:eastAsia="zh-CN"/>
              </w:rPr>
              <w:t>6) 重大安全事故和伤亡事故为0；           实际结果：重大安全事故和伤亡事故为0</w:t>
            </w:r>
          </w:p>
          <w:p>
            <w:pPr>
              <w:spacing w:line="240" w:lineRule="exact"/>
              <w:rPr>
                <w:rFonts w:hint="default"/>
                <w:lang w:val="en-US" w:eastAsia="zh-CN"/>
              </w:rPr>
            </w:pPr>
            <w:r>
              <w:rPr>
                <w:rFonts w:hint="eastAsia"/>
                <w:lang w:val="en-US" w:eastAsia="zh-CN"/>
              </w:rPr>
              <w:t>7) 火灾事故为0；                         实际结果：火灾事故为0</w:t>
            </w:r>
          </w:p>
          <w:p>
            <w:pPr>
              <w:spacing w:line="240" w:lineRule="exact"/>
              <w:rPr>
                <w:rFonts w:hint="default"/>
                <w:lang w:val="en-US" w:eastAsia="zh-CN"/>
              </w:rPr>
            </w:pPr>
            <w:r>
              <w:rPr>
                <w:rFonts w:hint="eastAsia"/>
                <w:lang w:val="en-US" w:eastAsia="zh-CN"/>
              </w:rPr>
              <w:t>8） 环境扰民投诉为0；                     实际结果：环境扰民投诉为0。</w:t>
            </w:r>
          </w:p>
          <w:p>
            <w:pPr>
              <w:pStyle w:val="3"/>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eastAsia="宋体" w:cs="Times New Roman"/>
                <w:b/>
                <w:color w:val="000000" w:themeColor="text1"/>
                <w:kern w:val="2"/>
                <w:sz w:val="20"/>
                <w:szCs w:val="20"/>
                <w:lang w:val="en-US" w:eastAsia="zh-CN" w:bidi="ar-SA"/>
              </w:rPr>
            </w:pPr>
            <w:r>
              <w:rPr>
                <w:rFonts w:hint="eastAsia" w:ascii="宋体" w:hAnsi="宋体" w:cs="宋体"/>
                <w:color w:val="000000" w:themeColor="text1"/>
              </w:rPr>
              <w:t>公司按照申请认证的标准要求，建立并形成了文件化的</w:t>
            </w:r>
            <w:r>
              <w:rPr>
                <w:rFonts w:hint="eastAsia" w:ascii="宋体" w:hAnsi="宋体" w:cs="宋体"/>
                <w:color w:val="000000" w:themeColor="text1"/>
                <w:lang w:eastAsia="zh-CN"/>
              </w:rPr>
              <w:t>质量、</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Arial"/>
                <w:color w:val="000000" w:themeColor="text1"/>
              </w:rPr>
              <w:t xml:space="preserve"> </w:t>
            </w:r>
            <w:r>
              <w:rPr>
                <w:rFonts w:hint="eastAsia" w:ascii="宋体" w:hAnsi="宋体" w:cs="宋体"/>
                <w:color w:val="000000" w:themeColor="text1"/>
              </w:rPr>
              <w:t>年</w:t>
            </w:r>
            <w:r>
              <w:rPr>
                <w:rFonts w:hint="eastAsia" w:ascii="宋体" w:hAnsi="宋体" w:cs="宋体"/>
                <w:color w:val="000000" w:themeColor="text1"/>
                <w:lang w:val="en-US" w:eastAsia="zh-CN"/>
              </w:rPr>
              <w:t>4</w:t>
            </w:r>
            <w:r>
              <w:rPr>
                <w:rFonts w:hint="eastAsia" w:ascii="宋体" w:hAnsi="宋体" w:cs="宋体"/>
                <w:color w:val="000000" w:themeColor="text1"/>
              </w:rPr>
              <w:t>月</w:t>
            </w:r>
            <w:r>
              <w:rPr>
                <w:rFonts w:hint="eastAsia" w:ascii="宋体" w:hAnsi="宋体" w:cs="宋体"/>
                <w:color w:val="000000" w:themeColor="text1"/>
                <w:lang w:val="en-US" w:eastAsia="zh-CN"/>
              </w:rPr>
              <w:t>15</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cs="宋体"/>
                <w:szCs w:val="21"/>
              </w:rPr>
            </w:pPr>
            <w:r>
              <w:rPr>
                <w:rFonts w:hint="eastAsia" w:ascii="宋体" w:hAnsi="宋体" w:cs="宋体"/>
                <w:szCs w:val="21"/>
              </w:rPr>
              <w:t>组织按管理体系需求配置了充足的人员、设施、监视和测量设备等资源，并建立维持了人力资源管理及相关服务运行环境，可以维持管理体系的正常运行。</w:t>
            </w:r>
          </w:p>
          <w:p>
            <w:pPr>
              <w:spacing w:line="300" w:lineRule="exact"/>
              <w:rPr>
                <w:rFonts w:ascii="宋体" w:hAnsi="宋体" w:eastAsia="宋体" w:cs="Times New Roman"/>
                <w:b/>
                <w:color w:val="000000" w:themeColor="text1"/>
                <w:kern w:val="2"/>
                <w:sz w:val="20"/>
                <w:szCs w:val="20"/>
                <w:lang w:val="en-US" w:eastAsia="zh-CN" w:bidi="ar-SA"/>
              </w:rPr>
            </w:pPr>
            <w:r>
              <w:rPr>
                <w:rFonts w:hint="eastAsia" w:ascii="宋体" w:hAnsi="宋体" w:cs="宋体"/>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rPr>
                <w:rFonts w:ascii="宋体" w:hAnsi="宋体"/>
                <w:b/>
                <w:color w:val="000000" w:themeColor="text1"/>
                <w:sz w:val="20"/>
                <w:szCs w:val="20"/>
              </w:rPr>
            </w:pPr>
            <w:r>
              <w:rPr>
                <w:rFonts w:hint="eastAsia" w:ascii="宋体" w:hAnsi="宋体"/>
                <w:sz w:val="21"/>
                <w:szCs w:val="21"/>
                <w:highlight w:val="none"/>
                <w:lang w:val="en-US" w:eastAsia="zh-CN"/>
              </w:rPr>
              <w:t>公司生产区域1720平方米，</w:t>
            </w:r>
            <w:r>
              <w:rPr>
                <w:rFonts w:hint="eastAsia" w:ascii="宋体" w:hAnsi="宋体"/>
                <w:sz w:val="21"/>
                <w:szCs w:val="21"/>
                <w:highlight w:val="none"/>
              </w:rPr>
              <w:t>办公面积</w:t>
            </w:r>
            <w:r>
              <w:rPr>
                <w:rFonts w:hint="eastAsia" w:ascii="宋体" w:hAnsi="宋体"/>
                <w:sz w:val="21"/>
                <w:szCs w:val="21"/>
                <w:highlight w:val="none"/>
                <w:lang w:val="en-US" w:eastAsia="zh-CN"/>
              </w:rPr>
              <w:t>200</w:t>
            </w:r>
            <w:r>
              <w:rPr>
                <w:rFonts w:hint="eastAsia" w:ascii="宋体" w:hAnsi="宋体" w:eastAsia="宋体" w:cs="宋体"/>
                <w:color w:val="auto"/>
                <w:szCs w:val="21"/>
              </w:rPr>
              <w:t>平方左右，</w:t>
            </w:r>
            <w:r>
              <w:rPr>
                <w:rFonts w:hint="eastAsia" w:ascii="宋体" w:hAnsi="宋体" w:eastAsia="宋体" w:cs="宋体"/>
                <w:color w:val="auto"/>
                <w:szCs w:val="21"/>
                <w:lang w:eastAsia="zh-CN"/>
              </w:rPr>
              <w:t>库房</w:t>
            </w:r>
            <w:r>
              <w:rPr>
                <w:rFonts w:hint="eastAsia" w:ascii="宋体" w:hAnsi="宋体" w:eastAsia="宋体" w:cs="宋体"/>
                <w:color w:val="auto"/>
                <w:szCs w:val="21"/>
                <w:lang w:val="en-US" w:eastAsia="zh-CN"/>
              </w:rPr>
              <w:t>面积150平方</w:t>
            </w:r>
            <w:r>
              <w:rPr>
                <w:rFonts w:hint="eastAsia" w:ascii="宋体" w:hAnsi="宋体" w:eastAsia="宋体" w:cs="宋体"/>
                <w:color w:val="auto"/>
                <w:szCs w:val="21"/>
              </w:rPr>
              <w:t>左右</w:t>
            </w:r>
            <w:r>
              <w:rPr>
                <w:rFonts w:hint="eastAsia" w:ascii="宋体" w:hAnsi="宋体" w:eastAsia="宋体" w:cs="宋体"/>
                <w:color w:val="auto"/>
                <w:szCs w:val="21"/>
                <w:lang w:eastAsia="zh-CN"/>
              </w:rPr>
              <w:t>。</w:t>
            </w:r>
            <w:r>
              <w:rPr>
                <w:rFonts w:hint="eastAsia" w:ascii="宋体" w:hAnsi="宋体" w:cs="宋体"/>
                <w:color w:val="auto"/>
                <w:szCs w:val="21"/>
              </w:rPr>
              <w:t>主要生产设备包括</w:t>
            </w:r>
            <w:r>
              <w:rPr>
                <w:rFonts w:hint="eastAsia" w:ascii="宋体" w:hAnsi="宋体"/>
                <w:szCs w:val="21"/>
                <w:highlight w:val="none"/>
                <w:lang w:val="en-US" w:eastAsia="zh-CN"/>
              </w:rPr>
              <w:t>数控车床、数控铣床、加工中心、摇臂钻床、、数控外圆磨床、空压机、行车</w:t>
            </w:r>
            <w:r>
              <w:rPr>
                <w:rFonts w:hint="eastAsia" w:ascii="宋体" w:hAnsi="宋体" w:cs="宋体"/>
                <w:color w:val="000000"/>
                <w:szCs w:val="21"/>
              </w:rPr>
              <w:t>等组装设备</w:t>
            </w:r>
            <w:r>
              <w:rPr>
                <w:rFonts w:hint="eastAsia" w:ascii="宋体" w:hAnsi="宋体" w:cs="宋体"/>
                <w:color w:val="000000"/>
                <w:szCs w:val="21"/>
                <w:lang w:eastAsia="zh-CN"/>
              </w:rPr>
              <w:t>、</w:t>
            </w:r>
            <w:r>
              <w:rPr>
                <w:rFonts w:hint="eastAsia" w:ascii="宋体" w:hAnsi="宋体" w:cs="宋体"/>
                <w:color w:val="000000"/>
                <w:szCs w:val="21"/>
              </w:rPr>
              <w:t>电脑及办公设备</w:t>
            </w:r>
            <w:r>
              <w:rPr>
                <w:rFonts w:hint="eastAsia" w:ascii="宋体" w:hAnsi="宋体"/>
                <w:szCs w:val="21"/>
              </w:rPr>
              <w:t>等</w:t>
            </w:r>
            <w:r>
              <w:rPr>
                <w:rFonts w:hint="eastAsia" w:ascii="宋体" w:hAnsi="宋体" w:cs="宋体"/>
                <w:color w:val="auto"/>
                <w:szCs w:val="21"/>
              </w:rPr>
              <w:t>，可以</w:t>
            </w:r>
            <w:r>
              <w:rPr>
                <w:rFonts w:hint="eastAsia" w:ascii="宋体" w:hAnsi="宋体" w:cs="宋体"/>
                <w:color w:val="auto"/>
                <w:szCs w:val="21"/>
                <w:lang w:eastAsia="zh-CN"/>
              </w:rPr>
              <w:t>满足金属切削机床制造</w:t>
            </w:r>
            <w:r>
              <w:rPr>
                <w:rFonts w:hint="eastAsia" w:ascii="宋体" w:hAnsi="宋体"/>
                <w:szCs w:val="21"/>
                <w:lang w:eastAsia="zh-CN"/>
              </w:rPr>
              <w:t>的需要</w:t>
            </w:r>
            <w:r>
              <w:rPr>
                <w:rFonts w:hint="eastAsia" w:ascii="宋体" w:hAnsi="宋体" w:cs="宋体"/>
                <w:color w:val="auto"/>
                <w:szCs w:val="21"/>
              </w:rPr>
              <w:t>。特种设备</w:t>
            </w:r>
            <w:r>
              <w:rPr>
                <w:rFonts w:hint="eastAsia" w:ascii="宋体" w:hAnsi="宋体" w:cs="宋体"/>
                <w:color w:val="auto"/>
                <w:szCs w:val="21"/>
                <w:lang w:eastAsia="zh-CN"/>
              </w:rPr>
              <w:t>：</w:t>
            </w:r>
            <w:r>
              <w:rPr>
                <w:rFonts w:hint="eastAsia" w:ascii="宋体" w:hAnsi="宋体" w:cs="宋体"/>
                <w:color w:val="auto"/>
                <w:szCs w:val="21"/>
                <w:lang w:val="en-US" w:eastAsia="zh-CN"/>
              </w:rPr>
              <w:t>行车（1台）</w:t>
            </w:r>
            <w:r>
              <w:rPr>
                <w:rFonts w:hint="eastAsia" w:ascii="宋体" w:hAnsi="宋体"/>
                <w:color w:val="auto"/>
                <w:szCs w:val="21"/>
              </w:rPr>
              <w:t>。</w:t>
            </w:r>
            <w:r>
              <w:rPr>
                <w:rFonts w:hint="eastAsia" w:ascii="宋体" w:hAnsi="宋体" w:cs="宋体"/>
                <w:color w:val="auto"/>
                <w:szCs w:val="21"/>
              </w:rPr>
              <w:t>公司未建立信息管理系统用于生产和服务。</w:t>
            </w:r>
          </w:p>
          <w:p>
            <w:pPr>
              <w:spacing w:line="240" w:lineRule="exact"/>
              <w:rPr>
                <w:rFonts w:ascii="宋体" w:hAnsi="宋体" w:eastAsia="宋体" w:cs="Times New Roman"/>
                <w:b/>
                <w:color w:val="000000" w:themeColor="text1"/>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eastAsia="宋体" w:cs="Times New Roman"/>
                <w:b/>
                <w:color w:val="000000" w:themeColor="text1"/>
                <w:kern w:val="2"/>
                <w:sz w:val="20"/>
                <w:szCs w:val="20"/>
                <w:lang w:val="en-US" w:eastAsia="zh-CN" w:bidi="ar-SA"/>
              </w:rPr>
            </w:pPr>
            <w:r>
              <w:rPr>
                <w:rFonts w:hint="eastAsia" w:ascii="宋体" w:hAnsi="宋体"/>
                <w:szCs w:val="21"/>
              </w:rPr>
              <w:t>办公区域内设备布置合理，照明设施齐全，均配备了灭火器、消防栓等设施。目前公司</w:t>
            </w:r>
            <w:r>
              <w:rPr>
                <w:rFonts w:hint="eastAsia" w:ascii="宋体" w:hAnsi="宋体"/>
                <w:szCs w:val="21"/>
                <w:lang w:eastAsia="zh-CN"/>
              </w:rPr>
              <w:t>从事</w:t>
            </w:r>
            <w:r>
              <w:rPr>
                <w:rFonts w:hint="eastAsia" w:ascii="宋体" w:hAnsi="宋体"/>
                <w:szCs w:val="21"/>
                <w:lang w:val="en-US" w:eastAsia="zh-CN"/>
              </w:rPr>
              <w:t>研发和</w:t>
            </w:r>
            <w:r>
              <w:rPr>
                <w:rFonts w:hint="eastAsia" w:ascii="宋体" w:hAnsi="宋体"/>
                <w:szCs w:val="21"/>
                <w:lang w:eastAsia="zh-CN"/>
              </w:rPr>
              <w:t>服务</w:t>
            </w:r>
            <w:r>
              <w:rPr>
                <w:rFonts w:hint="eastAsia" w:ascii="宋体" w:hAnsi="宋体"/>
                <w:szCs w:val="21"/>
                <w:lang w:val="en-US" w:eastAsia="zh-CN"/>
              </w:rPr>
              <w:t>的</w:t>
            </w:r>
            <w:r>
              <w:rPr>
                <w:rFonts w:hint="eastAsia" w:ascii="宋体" w:hAnsi="宋体"/>
                <w:szCs w:val="21"/>
                <w:lang w:eastAsia="zh-CN"/>
              </w:rPr>
              <w:t>工作性质</w:t>
            </w:r>
            <w:r>
              <w:rPr>
                <w:rFonts w:hint="eastAsia" w:ascii="宋体" w:hAnsi="宋体"/>
                <w:szCs w:val="21"/>
                <w:lang w:val="de-DE" w:eastAsia="zh-CN"/>
              </w:rPr>
              <w:t>的对</w:t>
            </w:r>
            <w:r>
              <w:rPr>
                <w:rFonts w:hint="eastAsia" w:ascii="宋体" w:hAnsi="宋体"/>
                <w:szCs w:val="21"/>
              </w:rPr>
              <w:t>环境要求不高，目前工作环境符合服务需要。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rPr>
            </w:pPr>
            <w:r>
              <w:rPr>
                <w:rFonts w:hint="eastAsia"/>
              </w:rPr>
              <w:t>监视和测量资源</w:t>
            </w:r>
          </w:p>
          <w:p>
            <w:pPr>
              <w:pStyle w:val="3"/>
              <w:rPr>
                <w:rFonts w:hint="default" w:ascii="Times New Roman" w:hAnsi="Times New Roman" w:eastAsia="宋体" w:cs="Times New Roman"/>
                <w:kern w:val="2"/>
                <w:sz w:val="21"/>
                <w:szCs w:val="24"/>
                <w:lang w:val="en-US" w:eastAsia="zh-CN" w:bidi="ar-SA"/>
              </w:rPr>
            </w:pPr>
            <w:r>
              <w:rPr>
                <w:rFonts w:hint="eastAsia" w:ascii="宋体" w:hAnsi="宋体"/>
                <w:b w:val="0"/>
                <w:bCs/>
                <w:color w:val="000000" w:themeColor="text1"/>
                <w:sz w:val="21"/>
                <w:szCs w:val="21"/>
                <w:lang w:val="en-US" w:eastAsia="zh-CN"/>
              </w:rPr>
              <w:t>公司</w:t>
            </w:r>
            <w:r>
              <w:rPr>
                <w:rFonts w:hint="eastAsia"/>
              </w:rPr>
              <w:t>测量</w:t>
            </w:r>
            <w:r>
              <w:rPr>
                <w:rFonts w:hint="eastAsia"/>
                <w:lang w:val="en-US" w:eastAsia="zh-CN"/>
              </w:rPr>
              <w:t>设施配备有：</w:t>
            </w:r>
            <w:r>
              <w:rPr>
                <w:rFonts w:hint="eastAsia" w:ascii="宋体" w:hAnsi="宋体" w:cs="Times New Roman"/>
                <w:szCs w:val="21"/>
                <w:highlight w:val="none"/>
                <w:lang w:val="en-US" w:eastAsia="zh-CN"/>
              </w:rPr>
              <w:t>内径百分表、指针百分表、杠杆百分表、千分尺、深度游标卡尺、游标卡尺</w:t>
            </w:r>
            <w:r>
              <w:rPr>
                <w:rFonts w:hint="eastAsia" w:ascii="宋体" w:hAnsi="宋体" w:eastAsia="宋体" w:cs="Times New Roman"/>
                <w:szCs w:val="21"/>
                <w:highlight w:val="none"/>
                <w:lang w:val="en-US" w:eastAsia="zh-CN"/>
              </w:rPr>
              <w:t xml:space="preserve"> </w:t>
            </w:r>
            <w:r>
              <w:rPr>
                <w:rFonts w:hint="eastAsia" w:ascii="宋体" w:hAnsi="宋体" w:cs="Times New Roman"/>
                <w:szCs w:val="21"/>
                <w:highlight w:val="none"/>
                <w:lang w:val="en-US" w:eastAsia="zh-CN"/>
              </w:rPr>
              <w:t>、带表卡尺、杠杆千分表等，</w:t>
            </w:r>
            <w:r>
              <w:rPr>
                <w:rFonts w:hint="eastAsia" w:ascii="宋体" w:hAnsi="宋体" w:cs="宋体"/>
                <w:color w:val="auto"/>
                <w:szCs w:val="21"/>
              </w:rPr>
              <w:t>可以</w:t>
            </w:r>
            <w:r>
              <w:rPr>
                <w:rFonts w:hint="eastAsia" w:ascii="宋体" w:hAnsi="宋体" w:cs="宋体"/>
                <w:color w:val="auto"/>
                <w:szCs w:val="21"/>
                <w:lang w:eastAsia="zh-CN"/>
              </w:rPr>
              <w:t>满足金属切削机床制造</w:t>
            </w:r>
            <w:r>
              <w:rPr>
                <w:rFonts w:hint="eastAsia" w:ascii="宋体" w:hAnsi="宋体"/>
                <w:szCs w:val="21"/>
                <w:lang w:eastAsia="zh-CN"/>
              </w:rPr>
              <w:t>的需要</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eastAsia="宋体" w:cs="Times New Roman"/>
                <w:b/>
                <w:color w:val="000000" w:themeColor="text1"/>
                <w:kern w:val="2"/>
                <w:sz w:val="20"/>
                <w:szCs w:val="20"/>
                <w:lang w:val="en-US" w:eastAsia="zh-CN" w:bidi="ar-SA"/>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环保设施：</w:t>
            </w:r>
            <w:r>
              <w:rPr>
                <w:rFonts w:hint="eastAsia" w:ascii="宋体" w:hAnsi="宋体" w:eastAsia="宋体" w:cs="宋体"/>
                <w:color w:val="000000"/>
                <w:szCs w:val="21"/>
              </w:rPr>
              <w:t>消防栓、灭火器</w:t>
            </w:r>
            <w:r>
              <w:rPr>
                <w:rFonts w:hint="eastAsia" w:ascii="宋体" w:hAnsi="宋体" w:eastAsia="宋体" w:cs="宋体"/>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r>
              <w:rPr>
                <w:rFonts w:hint="eastAsia" w:ascii="宋体" w:hAnsi="宋体" w:eastAsia="宋体" w:cs="宋体"/>
                <w:color w:val="000000"/>
                <w:szCs w:val="21"/>
                <w:lang w:eastAsia="zh-CN"/>
              </w:rPr>
              <w:t>配电箱</w:t>
            </w:r>
            <w:r>
              <w:rPr>
                <w:rFonts w:hint="eastAsia" w:ascii="宋体" w:hAnsi="宋体" w:eastAsia="宋体" w:cs="宋体"/>
                <w:color w:val="000000"/>
                <w:szCs w:val="21"/>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2"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与安全健康管理有关的法律法规，包括《劳动合同法》、《工伤保险条例》、《职业病防治法》等关于员工权益、保险等内容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ascii="宋体" w:hAnsi="宋体" w:cs="宋体"/>
                <w:color w:val="000000"/>
                <w:szCs w:val="21"/>
                <w:lang w:val="en-US" w:eastAsia="zh-CN"/>
              </w:rPr>
              <w:t>组织重要环境因素为</w:t>
            </w:r>
            <w:r>
              <w:rPr>
                <w:rFonts w:hint="eastAsia" w:ascii="宋体" w:hAnsi="宋体" w:cs="宋体"/>
                <w:szCs w:val="21"/>
              </w:rPr>
              <w:t>1）固废</w:t>
            </w:r>
            <w:r>
              <w:rPr>
                <w:rFonts w:hint="eastAsia" w:ascii="宋体" w:hAnsi="宋体" w:cs="宋体"/>
                <w:szCs w:val="21"/>
                <w:lang w:eastAsia="zh-CN"/>
              </w:rPr>
              <w:t>（</w:t>
            </w:r>
            <w:r>
              <w:rPr>
                <w:rFonts w:hint="eastAsia" w:ascii="宋体" w:hAnsi="宋体" w:cs="宋体"/>
                <w:szCs w:val="21"/>
                <w:lang w:val="en-US" w:eastAsia="zh-CN"/>
              </w:rPr>
              <w:t>含危险）</w:t>
            </w:r>
            <w:r>
              <w:rPr>
                <w:rFonts w:hint="eastAsia" w:ascii="宋体" w:hAnsi="宋体" w:cs="宋体"/>
                <w:szCs w:val="21"/>
              </w:rPr>
              <w:t>废弃物</w:t>
            </w:r>
            <w:r>
              <w:rPr>
                <w:rFonts w:hint="eastAsia" w:ascii="宋体" w:hAnsi="宋体" w:cs="宋体"/>
                <w:szCs w:val="21"/>
                <w:lang w:val="en-US" w:eastAsia="zh-CN"/>
              </w:rPr>
              <w:t>排放</w:t>
            </w:r>
            <w:r>
              <w:rPr>
                <w:rFonts w:hint="eastAsia" w:ascii="宋体" w:hAnsi="宋体" w:cs="宋体"/>
                <w:szCs w:val="21"/>
              </w:rPr>
              <w:t>；2）</w:t>
            </w:r>
            <w:r>
              <w:rPr>
                <w:rFonts w:hint="eastAsia" w:ascii="宋体" w:hAnsi="宋体" w:cs="宋体"/>
                <w:szCs w:val="21"/>
                <w:lang w:val="en-US" w:eastAsia="zh-CN"/>
              </w:rPr>
              <w:t>潜在</w:t>
            </w:r>
            <w:r>
              <w:rPr>
                <w:rFonts w:hint="eastAsia" w:ascii="宋体" w:hAnsi="宋体" w:cs="宋体"/>
                <w:szCs w:val="21"/>
                <w:rtl w:val="0"/>
                <w:lang w:val="zh-TW" w:eastAsia="zh-TW"/>
              </w:rPr>
              <w:t>火灾</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）噪声</w:t>
            </w:r>
            <w:r>
              <w:rPr>
                <w:rFonts w:hint="eastAsia" w:ascii="宋体" w:hAnsi="宋体" w:cs="宋体"/>
                <w:szCs w:val="21"/>
                <w:lang w:val="en-US" w:eastAsia="zh-CN"/>
              </w:rPr>
              <w:t>的</w:t>
            </w:r>
            <w:r>
              <w:rPr>
                <w:rFonts w:hint="eastAsia" w:ascii="宋体" w:hAnsi="宋体" w:cs="宋体"/>
                <w:szCs w:val="21"/>
              </w:rPr>
              <w:t>排放；</w:t>
            </w: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lang w:val="en-US" w:eastAsia="zh-CN"/>
              </w:rPr>
              <w:t>废气排放</w:t>
            </w:r>
            <w:r>
              <w:rPr>
                <w:rFonts w:hint="eastAsia" w:ascii="宋体" w:hAnsi="宋体" w:cs="宋体"/>
                <w:szCs w:val="21"/>
              </w:rPr>
              <w:t>。</w:t>
            </w:r>
            <w:r>
              <w:rPr>
                <w:rFonts w:hint="eastAsia" w:ascii="宋体" w:hAnsi="宋体" w:cs="宋体"/>
                <w:color w:val="000000"/>
                <w:szCs w:val="21"/>
                <w:lang w:val="en-US" w:eastAsia="zh-CN"/>
              </w:rPr>
              <w:t>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4"/>
              </w:numPr>
              <w:spacing w:line="240" w:lineRule="exact"/>
              <w:rPr>
                <w:rFonts w:hint="eastAsia"/>
                <w:lang w:eastAsia="zh-CN"/>
              </w:rPr>
            </w:pPr>
            <w:r>
              <w:rPr>
                <w:rFonts w:hint="eastAsia"/>
              </w:rPr>
              <w:t>OHSMS组织对不可接受风险实施控制的结果</w:t>
            </w:r>
            <w:r>
              <w:rPr>
                <w:rFonts w:hint="eastAsia"/>
                <w:lang w:eastAsia="zh-CN"/>
              </w:rPr>
              <w:t>。</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组织建立了危险源识别、评价控制程序，识别评价了危险源、风险相关的过程，评价出了重要危险源</w:t>
            </w:r>
            <w:r>
              <w:rPr>
                <w:rFonts w:hint="eastAsia"/>
                <w:szCs w:val="21"/>
              </w:rPr>
              <w:t>1）火灾；2）触电；</w:t>
            </w:r>
            <w:r>
              <w:rPr>
                <w:rFonts w:hint="eastAsia"/>
                <w:szCs w:val="21"/>
                <w:lang w:val="en-US" w:eastAsia="zh-CN"/>
              </w:rPr>
              <w:t>3</w:t>
            </w:r>
            <w:r>
              <w:rPr>
                <w:rFonts w:hint="eastAsia"/>
                <w:szCs w:val="21"/>
              </w:rPr>
              <w:t>）机械伤害</w:t>
            </w:r>
            <w:r>
              <w:rPr>
                <w:rFonts w:hint="eastAsia" w:asciiTheme="minorEastAsia" w:hAnsiTheme="minorEastAsia" w:eastAsiaTheme="minorEastAsia"/>
                <w:bCs/>
                <w:iCs/>
              </w:rPr>
              <w:t>，与之相关的过程有</w:t>
            </w:r>
            <w:r>
              <w:rPr>
                <w:rFonts w:hint="eastAsia" w:asciiTheme="minorEastAsia" w:hAnsiTheme="minorEastAsia" w:eastAsiaTheme="minorEastAsia"/>
                <w:bCs/>
                <w:iCs/>
                <w:lang w:val="en-US" w:eastAsia="zh-CN"/>
              </w:rPr>
              <w:t>机加</w:t>
            </w:r>
            <w:r>
              <w:rPr>
                <w:rFonts w:hint="eastAsia" w:asciiTheme="minorEastAsia" w:hAnsiTheme="minorEastAsia" w:eastAsiaTheme="minorEastAsia"/>
                <w:bCs/>
                <w:iCs/>
              </w:rPr>
              <w:t>、</w:t>
            </w:r>
            <w:r>
              <w:rPr>
                <w:rFonts w:hint="eastAsia" w:asciiTheme="minorEastAsia" w:hAnsiTheme="minorEastAsia" w:eastAsiaTheme="minorEastAsia"/>
                <w:bCs/>
                <w:iCs/>
                <w:lang w:val="en-US" w:eastAsia="zh-CN"/>
              </w:rPr>
              <w:t>组装、调试、检测</w:t>
            </w:r>
            <w:r>
              <w:rPr>
                <w:rFonts w:hint="eastAsia" w:asciiTheme="minorEastAsia" w:hAnsiTheme="minorEastAsia" w:eastAsiaTheme="minorEastAsia"/>
                <w:bCs/>
                <w:iCs/>
              </w:rPr>
              <w:t>过程，针对不可接受风险制定了管理方案。控制措施实施有效。</w:t>
            </w:r>
          </w:p>
          <w:p>
            <w:pPr>
              <w:pStyle w:val="2"/>
              <w:numPr>
                <w:ilvl w:val="0"/>
                <w:numId w:val="0"/>
              </w:numPr>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r>
              <w:rPr>
                <w:rFonts w:hint="eastAsia"/>
                <w:b/>
                <w:color w:val="000000" w:themeColor="text1"/>
                <w:sz w:val="20"/>
                <w:szCs w:val="20"/>
                <w:highlight w:val="none"/>
                <w:lang w:val="en-US" w:eastAsia="zh-CN"/>
              </w:rPr>
              <w:t>提供有行车（1台）的有效检验报告，见附件。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rPr>
            </w:pPr>
            <w:r>
              <w:rPr>
                <w:rFonts w:hint="eastAsia"/>
              </w:rPr>
              <w:t>11 .对危险化学品销售、使用、储存、运输处置，规定的执行力度(必要时);</w:t>
            </w:r>
          </w:p>
          <w:p>
            <w:pPr>
              <w:pStyle w:val="2"/>
              <w:rPr>
                <w:rFonts w:hint="eastAsia" w:eastAsia="宋体"/>
                <w:lang w:val="en-US" w:eastAsia="zh-CN"/>
              </w:rPr>
            </w:pPr>
            <w:r>
              <w:rPr>
                <w:rFonts w:hint="eastAsia" w:ascii="Times New Roman" w:hAnsi="Times New Roman" w:eastAsia="宋体" w:cs="Times New Roman"/>
                <w:b/>
                <w:color w:val="000000" w:themeColor="text1"/>
                <w:kern w:val="2"/>
                <w:sz w:val="20"/>
                <w:szCs w:val="20"/>
                <w:highlight w:val="none"/>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w:t>
            </w:r>
            <w:r>
              <w:rPr>
                <w:rFonts w:hint="eastAsia" w:ascii="宋体" w:hAnsi="宋体" w:cs="宋体"/>
                <w:color w:val="000000"/>
                <w:szCs w:val="21"/>
                <w:highlight w:val="none"/>
              </w:rPr>
              <w:t>同时，质量目标得到沟通和监视评价，通过数据的汇总统计、描述性统计等方法对目标进行了测量，总体已达到或超过了规定的目标值。通过</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4</w:t>
            </w:r>
            <w:r>
              <w:rPr>
                <w:rFonts w:hint="eastAsia" w:ascii="宋体" w:hAnsi="宋体" w:cs="宋体"/>
                <w:szCs w:val="21"/>
                <w:highlight w:val="none"/>
              </w:rPr>
              <w:t>-</w:t>
            </w:r>
            <w:r>
              <w:rPr>
                <w:rFonts w:hint="eastAsia" w:ascii="宋体" w:hAnsi="宋体" w:cs="宋体"/>
                <w:szCs w:val="21"/>
                <w:highlight w:val="none"/>
                <w:lang w:val="en-US" w:eastAsia="zh-CN"/>
              </w:rPr>
              <w:t>10</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numPr>
                <w:ilvl w:val="0"/>
                <w:numId w:val="5"/>
              </w:numPr>
              <w:spacing w:line="240" w:lineRule="exact"/>
              <w:ind w:left="100" w:hanging="105" w:hangingChars="50"/>
              <w:rPr>
                <w:rFonts w:hint="eastAsia"/>
              </w:rPr>
            </w:pPr>
            <w:r>
              <w:rPr>
                <w:rFonts w:hint="eastAsia"/>
              </w:rPr>
              <w:t>顾客满意</w:t>
            </w:r>
          </w:p>
          <w:p>
            <w:pPr>
              <w:pStyle w:val="2"/>
              <w:numPr>
                <w:ilvl w:val="0"/>
                <w:numId w:val="0"/>
              </w:numPr>
            </w:pPr>
            <w:r>
              <w:rPr>
                <w:rFonts w:hint="eastAsia" w:ascii="宋体" w:hAnsi="宋体" w:eastAsia="宋体" w:cs="宋体"/>
                <w:color w:val="000000"/>
                <w:kern w:val="2"/>
                <w:sz w:val="21"/>
                <w:szCs w:val="21"/>
                <w:highlight w:val="none"/>
                <w:lang w:val="en-US" w:eastAsia="zh-CN" w:bidi="ar-SA"/>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2020年</w:t>
            </w:r>
            <w:r>
              <w:rPr>
                <w:rFonts w:hint="eastAsia" w:cs="宋体"/>
                <w:color w:val="000000"/>
                <w:kern w:val="2"/>
                <w:sz w:val="21"/>
                <w:szCs w:val="21"/>
                <w:highlight w:val="none"/>
                <w:lang w:val="en-US" w:eastAsia="zh-CN" w:bidi="ar-SA"/>
              </w:rPr>
              <w:t>7</w:t>
            </w:r>
            <w:r>
              <w:rPr>
                <w:rFonts w:hint="eastAsia" w:ascii="宋体" w:hAnsi="宋体" w:eastAsia="宋体" w:cs="宋体"/>
                <w:color w:val="000000"/>
                <w:kern w:val="2"/>
                <w:sz w:val="21"/>
                <w:szCs w:val="21"/>
                <w:highlight w:val="none"/>
                <w:lang w:val="en-US" w:eastAsia="zh-CN" w:bidi="ar-SA"/>
              </w:rPr>
              <w:t>月实施，满意度评价9</w:t>
            </w:r>
            <w:r>
              <w:rPr>
                <w:rFonts w:hint="eastAsia" w:cs="宋体"/>
                <w:color w:val="000000"/>
                <w:kern w:val="2"/>
                <w:sz w:val="21"/>
                <w:szCs w:val="21"/>
                <w:highlight w:val="none"/>
                <w:lang w:val="en-US" w:eastAsia="zh-CN" w:bidi="ar-SA"/>
              </w:rPr>
              <w:t>6</w:t>
            </w:r>
            <w:r>
              <w:rPr>
                <w:rFonts w:hint="eastAsia" w:ascii="宋体" w:hAnsi="宋体" w:eastAsia="宋体" w:cs="宋体"/>
                <w:color w:val="000000"/>
                <w:kern w:val="2"/>
                <w:sz w:val="21"/>
                <w:szCs w:val="21"/>
                <w:highlight w:val="none"/>
                <w:lang w:val="en-US" w:eastAsia="zh-CN" w:bidi="ar-SA"/>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0"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r>
              <w:rPr>
                <w:rFonts w:hint="eastAsia" w:ascii="宋体" w:hAnsi="宋体"/>
                <w:szCs w:val="21"/>
              </w:rPr>
              <w:t>建立有《内部审核控制程序》，规定了内审频次一年一次，内审时间：</w:t>
            </w:r>
            <w:r>
              <w:rPr>
                <w:rFonts w:hint="eastAsia" w:ascii="宋体" w:hAnsi="宋体"/>
                <w:szCs w:val="21"/>
                <w:highlight w:val="none"/>
              </w:rPr>
              <w:t>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8</w:t>
            </w:r>
            <w:r>
              <w:rPr>
                <w:rFonts w:hint="eastAsia" w:ascii="宋体" w:hAnsi="宋体"/>
                <w:szCs w:val="21"/>
                <w:highlight w:val="none"/>
              </w:rPr>
              <w:t>月</w:t>
            </w:r>
            <w:r>
              <w:rPr>
                <w:rFonts w:hint="eastAsia" w:ascii="宋体" w:hAnsi="宋体"/>
                <w:szCs w:val="21"/>
                <w:highlight w:val="none"/>
                <w:lang w:val="en-US" w:eastAsia="zh-CN"/>
              </w:rPr>
              <w:t>10日-11日</w:t>
            </w:r>
            <w:r>
              <w:rPr>
                <w:rFonts w:hint="eastAsia" w:ascii="宋体" w:hAnsi="宋体"/>
                <w:szCs w:val="21"/>
              </w:rPr>
              <w:t>，拟定了审核实施表，明确了内审范围，内审人员经培训合格上岗，能力满足要求，未出现审核本部门情况，</w:t>
            </w:r>
            <w:r>
              <w:rPr>
                <w:rFonts w:hint="eastAsia"/>
                <w:szCs w:val="22"/>
              </w:rPr>
              <w:t>《《内审不符合项报</w:t>
            </w:r>
            <w:r>
              <w:rPr>
                <w:rFonts w:hint="eastAsia" w:ascii="宋体" w:hAnsi="宋体" w:eastAsia="宋体" w:cs="宋体"/>
                <w:sz w:val="21"/>
                <w:szCs w:val="21"/>
              </w:rPr>
              <w:t>告》</w:t>
            </w:r>
            <w:r>
              <w:rPr>
                <w:rFonts w:hint="eastAsia" w:ascii="宋体" w:hAnsi="宋体" w:eastAsia="宋体" w:cs="宋体"/>
                <w:sz w:val="21"/>
                <w:szCs w:val="21"/>
                <w:lang w:val="en-US" w:eastAsia="zh-CN"/>
              </w:rPr>
              <w:t>1</w:t>
            </w:r>
            <w:r>
              <w:rPr>
                <w:rFonts w:hint="eastAsia" w:ascii="宋体" w:hAnsi="宋体" w:eastAsia="宋体" w:cs="宋体"/>
                <w:sz w:val="21"/>
                <w:szCs w:val="21"/>
              </w:rPr>
              <w:t>份，</w:t>
            </w:r>
            <w:r>
              <w:rPr>
                <w:rFonts w:hint="eastAsia" w:ascii="宋体" w:hAnsi="宋体"/>
                <w:szCs w:val="21"/>
                <w:highlight w:val="none"/>
              </w:rPr>
              <w:t>涉及</w:t>
            </w:r>
            <w:r>
              <w:rPr>
                <w:rFonts w:hint="eastAsia" w:ascii="宋体" w:hAnsi="宋体"/>
                <w:szCs w:val="21"/>
                <w:highlight w:val="none"/>
                <w:lang w:val="en-US" w:eastAsia="zh-CN"/>
              </w:rPr>
              <w:t>销售部Q8.2</w:t>
            </w:r>
            <w:r>
              <w:rPr>
                <w:rFonts w:hint="eastAsia" w:ascii="宋体" w:hAnsi="宋体"/>
                <w:szCs w:val="21"/>
                <w:highlight w:val="none"/>
              </w:rPr>
              <w:t>条款审核中发现销售部未能提供2020年7月3日与客户成都航宇锻压有限公司（数控车床）签订的一份销售合同未见评审记录</w:t>
            </w:r>
            <w:r>
              <w:rPr>
                <w:rFonts w:hint="eastAsia"/>
                <w:szCs w:val="22"/>
              </w:rPr>
              <w:t>，针对这些不符合项，已及时采取纠正措施后，经内审员验证关闭</w:t>
            </w:r>
            <w:r>
              <w:rPr>
                <w:rFonts w:hint="eastAsia" w:ascii="宋体" w:hAnsi="宋体"/>
                <w:szCs w:val="21"/>
              </w:rPr>
              <w:t>。内审的有效性需要改善。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8</w:t>
            </w:r>
            <w:r>
              <w:rPr>
                <w:rFonts w:hint="eastAsia" w:ascii="宋体" w:hAnsi="宋体"/>
                <w:szCs w:val="21"/>
              </w:rPr>
              <w:t>月2</w:t>
            </w:r>
            <w:r>
              <w:rPr>
                <w:rFonts w:hint="eastAsia" w:ascii="宋体" w:hAnsi="宋体"/>
                <w:szCs w:val="21"/>
                <w:lang w:val="en-US" w:eastAsia="zh-CN"/>
              </w:rPr>
              <w:t>5</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6"/>
              </w:numPr>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numPr>
                <w:ilvl w:val="0"/>
                <w:numId w:val="0"/>
              </w:numPr>
              <w:rPr>
                <w:rFonts w:hint="eastAsia"/>
                <w:color w:val="000000"/>
                <w:szCs w:val="21"/>
                <w:lang w:val="en-US" w:eastAsia="zh-CN"/>
              </w:rPr>
            </w:pPr>
            <w:r>
              <w:rPr>
                <w:rFonts w:hint="eastAsia"/>
                <w:color w:val="000000"/>
                <w:szCs w:val="21"/>
                <w:lang w:val="en-US" w:eastAsia="zh-CN"/>
              </w:rPr>
              <w:t>提供有固定污染源排污登记回执，登记编号：91511025MA6773YE1Y001W；</w:t>
            </w:r>
          </w:p>
          <w:p>
            <w:pPr>
              <w:spacing w:line="400" w:lineRule="exact"/>
              <w:rPr>
                <w:rFonts w:hint="eastAsia" w:ascii="宋体" w:hAnsi="宋体" w:eastAsia="宋体" w:cs="宋体"/>
                <w:color w:val="000000"/>
                <w:kern w:val="0"/>
                <w:szCs w:val="21"/>
                <w:lang w:eastAsia="zh-CN"/>
              </w:rPr>
            </w:pPr>
            <w:r>
              <w:rPr>
                <w:rFonts w:hint="eastAsia" w:ascii="宋体" w:hAnsi="宋体"/>
                <w:szCs w:val="21"/>
              </w:rPr>
              <w:t>提供有</w:t>
            </w:r>
            <w:r>
              <w:rPr>
                <w:rFonts w:hint="eastAsia"/>
                <w:color w:val="000000"/>
                <w:kern w:val="0"/>
                <w:szCs w:val="21"/>
              </w:rPr>
              <w:t>20</w:t>
            </w:r>
            <w:r>
              <w:rPr>
                <w:rFonts w:hint="eastAsia"/>
                <w:color w:val="000000"/>
                <w:kern w:val="0"/>
                <w:szCs w:val="21"/>
                <w:lang w:val="en-US" w:eastAsia="zh-CN"/>
              </w:rPr>
              <w:t>20</w:t>
            </w:r>
            <w:r>
              <w:rPr>
                <w:rFonts w:hint="eastAsia"/>
                <w:color w:val="000000"/>
                <w:kern w:val="0"/>
                <w:szCs w:val="21"/>
              </w:rPr>
              <w:t>年</w:t>
            </w:r>
            <w:r>
              <w:rPr>
                <w:rFonts w:hint="eastAsia"/>
                <w:color w:val="000000"/>
                <w:kern w:val="0"/>
                <w:szCs w:val="21"/>
                <w:lang w:val="en-US" w:eastAsia="zh-CN"/>
              </w:rPr>
              <w:t>10</w:t>
            </w:r>
            <w:r>
              <w:rPr>
                <w:rFonts w:hint="eastAsia"/>
                <w:color w:val="000000"/>
                <w:kern w:val="0"/>
                <w:szCs w:val="21"/>
              </w:rPr>
              <w:t>月</w:t>
            </w:r>
            <w:r>
              <w:rPr>
                <w:rFonts w:hint="eastAsia"/>
                <w:color w:val="000000"/>
                <w:kern w:val="0"/>
                <w:szCs w:val="21"/>
                <w:lang w:val="en-US" w:eastAsia="zh-CN"/>
              </w:rPr>
              <w:t>9</w:t>
            </w:r>
            <w:r>
              <w:rPr>
                <w:rFonts w:hint="eastAsia"/>
                <w:color w:val="000000"/>
                <w:kern w:val="0"/>
                <w:szCs w:val="21"/>
              </w:rPr>
              <w:t>日</w:t>
            </w:r>
            <w:r>
              <w:rPr>
                <w:rFonts w:hint="eastAsia"/>
                <w:color w:val="000000"/>
                <w:kern w:val="0"/>
                <w:szCs w:val="21"/>
                <w:lang w:val="en-US" w:eastAsia="zh-CN"/>
              </w:rPr>
              <w:t>环境</w:t>
            </w:r>
            <w:r>
              <w:rPr>
                <w:rFonts w:hint="eastAsia" w:ascii="宋体" w:hAnsi="宋体" w:cs="宋体"/>
                <w:color w:val="000000"/>
                <w:kern w:val="0"/>
                <w:szCs w:val="21"/>
                <w:lang w:val="en-US" w:eastAsia="zh-CN"/>
              </w:rPr>
              <w:t>检</w:t>
            </w:r>
            <w:r>
              <w:rPr>
                <w:rFonts w:hint="eastAsia" w:ascii="宋体" w:hAnsi="宋体" w:cs="宋体"/>
                <w:color w:val="000000"/>
                <w:kern w:val="0"/>
                <w:szCs w:val="21"/>
              </w:rPr>
              <w:t>测报告，</w:t>
            </w:r>
            <w:r>
              <w:rPr>
                <w:rFonts w:hint="eastAsia" w:ascii="宋体" w:hAnsi="宋体" w:cs="宋体"/>
                <w:color w:val="000000"/>
                <w:kern w:val="0"/>
                <w:szCs w:val="21"/>
                <w:lang w:eastAsia="zh-CN"/>
              </w:rPr>
              <w:t>报告</w:t>
            </w:r>
            <w:r>
              <w:rPr>
                <w:rFonts w:hint="eastAsia" w:ascii="宋体" w:hAnsi="宋体" w:cs="宋体"/>
                <w:color w:val="000000"/>
                <w:kern w:val="0"/>
                <w:szCs w:val="21"/>
              </w:rPr>
              <w:t>编号</w:t>
            </w:r>
            <w:r>
              <w:rPr>
                <w:rFonts w:hint="eastAsia" w:ascii="宋体" w:hAnsi="宋体" w:cs="宋体"/>
                <w:color w:val="000000"/>
                <w:kern w:val="0"/>
                <w:szCs w:val="21"/>
                <w:lang w:val="en-US" w:eastAsia="zh-CN"/>
              </w:rPr>
              <w:t>同环监字（2020）第0915</w:t>
            </w:r>
            <w:r>
              <w:rPr>
                <w:rFonts w:hint="eastAsia" w:ascii="宋体" w:hAnsi="宋体" w:eastAsia="宋体" w:cs="宋体"/>
                <w:color w:val="000000"/>
                <w:kern w:val="0"/>
                <w:szCs w:val="21"/>
                <w:lang w:val="en-US" w:eastAsia="zh-CN"/>
              </w:rPr>
              <w:t>号</w:t>
            </w:r>
            <w:r>
              <w:rPr>
                <w:rFonts w:hint="eastAsia" w:ascii="宋体" w:hAnsi="宋体" w:cs="宋体"/>
                <w:color w:val="000000"/>
                <w:kern w:val="0"/>
                <w:szCs w:val="21"/>
              </w:rPr>
              <w:t>。</w:t>
            </w:r>
            <w:r>
              <w:rPr>
                <w:rFonts w:hint="eastAsia" w:ascii="宋体" w:hAnsi="宋体" w:cs="宋体"/>
                <w:color w:val="000000"/>
                <w:kern w:val="0"/>
                <w:szCs w:val="21"/>
                <w:lang w:eastAsia="zh-CN"/>
              </w:rPr>
              <w:t>监测项目：</w:t>
            </w:r>
            <w:r>
              <w:rPr>
                <w:rFonts w:hint="eastAsia" w:ascii="宋体" w:hAnsi="宋体" w:cs="宋体"/>
                <w:color w:val="000000"/>
                <w:kern w:val="0"/>
                <w:szCs w:val="21"/>
              </w:rPr>
              <w:t>噪声、废气</w:t>
            </w:r>
            <w:r>
              <w:rPr>
                <w:rFonts w:hint="eastAsia" w:ascii="宋体" w:hAnsi="宋体" w:cs="宋体"/>
                <w:color w:val="000000"/>
                <w:kern w:val="0"/>
                <w:szCs w:val="21"/>
                <w:lang w:eastAsia="zh-CN"/>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6"/>
              </w:numPr>
              <w:spacing w:line="240" w:lineRule="exact"/>
              <w:ind w:left="0" w:leftChars="0" w:firstLine="0" w:firstLineChars="0"/>
              <w:rPr>
                <w:rFonts w:hint="eastAsia"/>
                <w:b/>
                <w:color w:val="000000" w:themeColor="text1"/>
                <w:sz w:val="20"/>
                <w:szCs w:val="20"/>
              </w:rPr>
            </w:pPr>
            <w:r>
              <w:rPr>
                <w:rFonts w:hint="eastAsia"/>
                <w:b/>
                <w:color w:val="000000" w:themeColor="text1"/>
                <w:sz w:val="20"/>
                <w:szCs w:val="20"/>
              </w:rPr>
              <w:t xml:space="preserve">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pStyle w:val="2"/>
              <w:numPr>
                <w:ilvl w:val="0"/>
                <w:numId w:val="0"/>
              </w:numPr>
              <w:ind w:leftChars="0"/>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提供有：</w:t>
            </w:r>
          </w:p>
          <w:p>
            <w:pPr>
              <w:pStyle w:val="3"/>
              <w:numPr>
                <w:ilvl w:val="0"/>
                <w:numId w:val="7"/>
              </w:numPr>
              <w:ind w:left="105" w:leftChars="0" w:firstLine="0" w:firstLineChars="0"/>
              <w:rPr>
                <w:rFonts w:hint="eastAsia"/>
                <w:highlight w:val="none"/>
                <w:lang w:val="en-US" w:eastAsia="zh-CN"/>
              </w:rPr>
            </w:pPr>
            <w:r>
              <w:rPr>
                <w:rFonts w:hint="eastAsia"/>
                <w:highlight w:val="none"/>
                <w:lang w:val="en-US" w:eastAsia="zh-CN"/>
              </w:rPr>
              <w:t>数控机床制造，伺服电主轴制造建设项目环境影响报告表；</w:t>
            </w:r>
          </w:p>
          <w:p>
            <w:pPr>
              <w:pStyle w:val="3"/>
              <w:numPr>
                <w:ilvl w:val="0"/>
                <w:numId w:val="7"/>
              </w:numPr>
              <w:ind w:left="105" w:leftChars="0" w:firstLine="0" w:firstLineChars="0"/>
              <w:rPr>
                <w:rFonts w:hint="default" w:eastAsia="宋体"/>
                <w:highlight w:val="none"/>
                <w:lang w:val="en-US" w:eastAsia="zh-CN"/>
              </w:rPr>
            </w:pPr>
            <w:r>
              <w:rPr>
                <w:rFonts w:hint="eastAsia"/>
                <w:highlight w:val="none"/>
                <w:lang w:val="en-US" w:eastAsia="zh-CN"/>
              </w:rPr>
              <w:t>数控机床制造，伺服电主轴制造建设项目环境影响报告表的批复、资中环许可（2018）42号；</w:t>
            </w:r>
          </w:p>
          <w:p>
            <w:pPr>
              <w:widowControl/>
              <w:jc w:val="left"/>
              <w:rPr>
                <w:rFonts w:hint="eastAsia" w:ascii="宋体" w:hAnsi="宋体" w:cs="宋体"/>
                <w:color w:val="000000" w:themeColor="text1"/>
                <w:kern w:val="0"/>
                <w:sz w:val="21"/>
                <w:szCs w:val="21"/>
                <w:highlight w:val="none"/>
              </w:rPr>
            </w:pPr>
            <w:r>
              <w:rPr>
                <w:rFonts w:hint="eastAsia"/>
                <w:highlight w:val="none"/>
                <w:lang w:val="en-US" w:eastAsia="zh-CN"/>
              </w:rPr>
              <w:t>3）数控机床制造，伺服电主轴制造建设项目竣工环境影响保护验收意见，</w:t>
            </w:r>
            <w:r>
              <w:rPr>
                <w:rFonts w:hint="eastAsia"/>
                <w:color w:val="auto"/>
                <w:szCs w:val="21"/>
                <w:highlight w:val="none"/>
                <w:lang w:val="en-US" w:eastAsia="zh-CN"/>
              </w:rPr>
              <w:t>验收结论：同意通过环保验收</w:t>
            </w:r>
            <w:r>
              <w:rPr>
                <w:rFonts w:hint="eastAsia"/>
                <w:color w:val="000000" w:themeColor="text1"/>
                <w:sz w:val="20"/>
                <w:szCs w:val="20"/>
                <w:highlight w:val="none"/>
                <w:lang w:val="en-US" w:eastAsia="zh-CN"/>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暂无</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rFonts w:hint="eastAsia" w:eastAsia="宋体"/>
                <w:b/>
                <w:color w:val="000000" w:themeColor="text1"/>
                <w:spacing w:val="-20"/>
                <w:sz w:val="20"/>
                <w:szCs w:val="20"/>
                <w:lang w:val="en-US" w:eastAsia="zh-CN"/>
              </w:rPr>
            </w:pPr>
            <w:r>
              <w:rPr>
                <w:rFonts w:hint="eastAsia"/>
                <w:b/>
                <w:color w:val="000000" w:themeColor="text1"/>
                <w:spacing w:val="-20"/>
                <w:sz w:val="20"/>
                <w:szCs w:val="20"/>
                <w:lang w:val="en-US" w:eastAsia="zh-CN"/>
              </w:rPr>
              <w:t>无</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hint="eastAsia" w:eastAsia="宋体"/>
                <w:b/>
                <w:color w:val="000000" w:themeColor="text1"/>
                <w:spacing w:val="-20"/>
                <w:sz w:val="20"/>
                <w:szCs w:val="20"/>
                <w:lang w:val="en-US" w:eastAsia="zh-CN"/>
              </w:rPr>
            </w:pPr>
            <w:r>
              <w:rPr>
                <w:rFonts w:hint="eastAsia"/>
                <w:b/>
                <w:color w:val="000000" w:themeColor="text1"/>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0"/>
              </w:numPr>
              <w:spacing w:line="240" w:lineRule="exact"/>
              <w:ind w:leftChars="-50"/>
              <w:rPr>
                <w:rFonts w:hint="eastAsia" w:eastAsia="宋体"/>
                <w:b/>
                <w:color w:val="000000" w:themeColor="text1"/>
                <w:sz w:val="20"/>
                <w:szCs w:val="20"/>
              </w:rPr>
            </w:pPr>
            <w:r>
              <w:rPr>
                <w:rFonts w:hint="eastAsia" w:eastAsia="宋体"/>
                <w:b/>
                <w:color w:val="000000" w:themeColor="text1"/>
                <w:sz w:val="20"/>
                <w:szCs w:val="20"/>
                <w:lang w:val="en-US" w:eastAsia="zh-CN"/>
              </w:rPr>
              <w:t>4.</w:t>
            </w:r>
            <w:r>
              <w:rPr>
                <w:rFonts w:hint="eastAsia" w:eastAsia="宋体"/>
                <w:b/>
                <w:color w:val="000000" w:themeColor="text1"/>
                <w:sz w:val="20"/>
                <w:szCs w:val="20"/>
              </w:rPr>
              <w:t>创新情况</w:t>
            </w:r>
          </w:p>
          <w:p>
            <w:pPr>
              <w:pStyle w:val="2"/>
              <w:numPr>
                <w:ilvl w:val="0"/>
                <w:numId w:val="0"/>
              </w:numPr>
              <w:ind w:leftChars="-50"/>
              <w:rPr>
                <w:rFonts w:hint="default" w:ascii="Times New Roman" w:hAnsi="Times New Roman" w:eastAsia="宋体" w:cs="Times New Roman"/>
                <w:b/>
                <w:color w:val="000000" w:themeColor="text1"/>
                <w:kern w:val="2"/>
                <w:sz w:val="20"/>
                <w:szCs w:val="20"/>
                <w:lang w:val="en-US" w:eastAsia="zh-CN" w:bidi="ar-SA"/>
              </w:rPr>
            </w:pPr>
            <w:r>
              <w:rPr>
                <w:rFonts w:hint="eastAsia" w:ascii="Times New Roman" w:hAnsi="Times New Roman" w:eastAsia="宋体" w:cs="Times New Roman"/>
                <w:b/>
                <w:color w:val="000000" w:themeColor="text1"/>
                <w:kern w:val="2"/>
                <w:sz w:val="20"/>
                <w:szCs w:val="20"/>
                <w:lang w:val="en-US" w:eastAsia="zh-CN" w:bidi="ar-SA"/>
              </w:rPr>
              <w:t>有：多项实用型专利发明，见附件。</w:t>
            </w:r>
          </w:p>
          <w:p>
            <w:pPr>
              <w:pStyle w:val="2"/>
              <w:numPr>
                <w:ilvl w:val="0"/>
                <w:numId w:val="0"/>
              </w:numPr>
              <w:ind w:leftChars="-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numPr>
                <w:ilvl w:val="0"/>
                <w:numId w:val="0"/>
              </w:numPr>
              <w:spacing w:line="240" w:lineRule="exact"/>
              <w:ind w:leftChars="-50"/>
              <w:rPr>
                <w:rFonts w:hint="default" w:eastAsia="宋体"/>
                <w:lang w:val="en-US" w:eastAsia="zh-CN"/>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highlight w:val="none"/>
        </w:rPr>
      </w:pPr>
      <w:r>
        <w:rPr>
          <w:rFonts w:hint="eastAsia"/>
          <w:b/>
          <w:color w:val="000000" w:themeColor="text1"/>
          <w:sz w:val="24"/>
          <w:szCs w:val="24"/>
          <w:highlight w:val="none"/>
        </w:rPr>
        <w:t>1. 本次审核共开具不符合项报告</w:t>
      </w:r>
      <w:r>
        <w:rPr>
          <w:rFonts w:hint="eastAsia"/>
          <w:b/>
          <w:color w:val="000000" w:themeColor="text1"/>
          <w:sz w:val="24"/>
          <w:szCs w:val="24"/>
          <w:highlight w:val="none"/>
          <w:lang w:val="en-US" w:eastAsia="zh-CN"/>
        </w:rPr>
        <w:t>2</w:t>
      </w:r>
      <w:r>
        <w:rPr>
          <w:rFonts w:hint="eastAsia"/>
          <w:b/>
          <w:color w:val="000000" w:themeColor="text1"/>
          <w:sz w:val="24"/>
          <w:szCs w:val="24"/>
          <w:highlight w:val="none"/>
        </w:rPr>
        <w:t>项；其中</w:t>
      </w:r>
      <w:r>
        <w:rPr>
          <w:b/>
          <w:color w:val="000000" w:themeColor="text1"/>
          <w:sz w:val="24"/>
          <w:szCs w:val="24"/>
          <w:highlight w:val="none"/>
        </w:rPr>
        <w:pict>
          <v:line id="直接连接符 1" o:spid="_x0000_s2055" o:spt="20" style="position:absolute;left:0pt;margin-left:210pt;margin-top:16.2pt;height:0pt;width:0pt;z-index:251670528;mso-width-relative:page;mso-height-relative:page;" coordsize="21600,21600" o:allowincell="f">
            <v:path arrowok="t"/>
            <v:fill focussize="0,0"/>
            <v:stroke/>
            <v:imagedata o:title=""/>
            <o:lock v:ext="edit"/>
          </v:line>
        </w:pict>
      </w:r>
      <w:r>
        <w:rPr>
          <w:rFonts w:hint="eastAsia"/>
          <w:b/>
          <w:color w:val="000000" w:themeColor="text1"/>
          <w:sz w:val="24"/>
          <w:szCs w:val="24"/>
          <w:highlight w:val="none"/>
        </w:rPr>
        <w:t>严重不符合</w:t>
      </w:r>
      <w:r>
        <w:rPr>
          <w:rFonts w:hint="eastAsia"/>
          <w:b/>
          <w:color w:val="000000" w:themeColor="text1"/>
          <w:sz w:val="24"/>
          <w:szCs w:val="24"/>
          <w:highlight w:val="none"/>
          <w:lang w:val="en-US" w:eastAsia="zh-CN"/>
        </w:rPr>
        <w:t>0</w:t>
      </w:r>
      <w:r>
        <w:rPr>
          <w:rFonts w:hint="eastAsia"/>
          <w:b/>
          <w:color w:val="000000" w:themeColor="text1"/>
          <w:sz w:val="24"/>
          <w:szCs w:val="24"/>
          <w:highlight w:val="none"/>
        </w:rPr>
        <w:t>项，一般不符合</w:t>
      </w:r>
      <w:r>
        <w:rPr>
          <w:rFonts w:hint="eastAsia"/>
          <w:b/>
          <w:color w:val="000000" w:themeColor="text1"/>
          <w:sz w:val="24"/>
          <w:szCs w:val="24"/>
          <w:highlight w:val="none"/>
          <w:lang w:val="en-US" w:eastAsia="zh-CN"/>
        </w:rPr>
        <w:t>2</w:t>
      </w:r>
      <w:r>
        <w:rPr>
          <w:rFonts w:hint="eastAsia"/>
          <w:b/>
          <w:color w:val="000000" w:themeColor="text1"/>
          <w:sz w:val="24"/>
          <w:szCs w:val="24"/>
          <w:highlight w:val="none"/>
        </w:rPr>
        <w:t>项，观察项</w:t>
      </w:r>
      <w:r>
        <w:rPr>
          <w:rFonts w:hint="eastAsia"/>
          <w:b/>
          <w:color w:val="000000" w:themeColor="text1"/>
          <w:sz w:val="24"/>
          <w:szCs w:val="24"/>
          <w:highlight w:val="none"/>
          <w:lang w:val="en-US" w:eastAsia="zh-CN"/>
        </w:rPr>
        <w:t>0</w:t>
      </w:r>
      <w:r>
        <w:rPr>
          <w:rFonts w:hint="eastAsia"/>
          <w:b/>
          <w:color w:val="000000" w:themeColor="text1"/>
          <w:sz w:val="24"/>
          <w:szCs w:val="24"/>
          <w:highlight w:val="none"/>
        </w:rPr>
        <w:t>项分布在</w:t>
      </w:r>
      <w:r>
        <w:rPr>
          <w:rFonts w:hint="eastAsia"/>
          <w:b/>
          <w:color w:val="000000" w:themeColor="text1"/>
          <w:sz w:val="24"/>
          <w:szCs w:val="24"/>
          <w:highlight w:val="none"/>
          <w:lang w:val="en-US" w:eastAsia="zh-CN"/>
        </w:rPr>
        <w:t>行政</w:t>
      </w:r>
      <w:r>
        <w:rPr>
          <w:rFonts w:hint="eastAsia"/>
          <w:b/>
          <w:color w:val="000000" w:themeColor="text1"/>
          <w:sz w:val="24"/>
          <w:szCs w:val="24"/>
          <w:highlight w:val="none"/>
        </w:rPr>
        <w:t>部门</w:t>
      </w:r>
      <w:r>
        <w:rPr>
          <w:rFonts w:hint="eastAsia"/>
          <w:b/>
          <w:color w:val="000000" w:themeColor="text1"/>
          <w:sz w:val="24"/>
          <w:szCs w:val="24"/>
          <w:highlight w:val="none"/>
          <w:lang w:val="en-US" w:eastAsia="zh-CN"/>
        </w:rPr>
        <w:t>S9.1.1</w:t>
      </w:r>
      <w:r>
        <w:rPr>
          <w:rFonts w:hint="eastAsia"/>
          <w:b/>
          <w:color w:val="000000" w:themeColor="text1"/>
          <w:sz w:val="24"/>
          <w:szCs w:val="24"/>
          <w:highlight w:val="none"/>
        </w:rPr>
        <w:t>条款</w:t>
      </w:r>
      <w:r>
        <w:rPr>
          <w:rFonts w:hint="eastAsia"/>
          <w:b/>
          <w:color w:val="000000" w:themeColor="text1"/>
          <w:sz w:val="24"/>
          <w:szCs w:val="24"/>
          <w:highlight w:val="none"/>
          <w:lang w:val="en-US" w:eastAsia="zh-CN"/>
        </w:rPr>
        <w:t>和资材部门Q8.4.1条款</w:t>
      </w:r>
      <w:r>
        <w:rPr>
          <w:rFonts w:hint="eastAsia"/>
          <w:b/>
          <w:color w:val="000000" w:themeColor="text1"/>
          <w:sz w:val="24"/>
          <w:szCs w:val="24"/>
          <w:highlight w:val="none"/>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1. ■</w:t>
            </w:r>
            <w:r>
              <w:rPr>
                <w:rFonts w:hint="eastAsia"/>
                <w:b/>
                <w:color w:val="000000" w:themeColor="text1"/>
                <w:sz w:val="22"/>
                <w:szCs w:val="22"/>
              </w:rPr>
              <w:t>QMS■EMS ■OHSMS的适宜性、充分性、运行有效性，自我完善机制等。管理体系满足适用要求和实现预期结果的能力。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hint="eastAsia" w:ascii="宋体" w:hAnsi="宋体" w:eastAsia="宋体"/>
                <w:b/>
                <w:color w:val="000000" w:themeColor="text1"/>
                <w:u w:val="single"/>
                <w:lang w:val="en-US" w:eastAsia="zh-CN"/>
              </w:rPr>
            </w:pPr>
            <w:r>
              <w:rPr>
                <w:rFonts w:ascii="宋体" w:hAnsi="宋体"/>
                <w:b/>
                <w:color w:val="000000" w:themeColor="text1"/>
              </w:rPr>
              <w:t>QMS:</w:t>
            </w:r>
            <w:r>
              <w:rPr>
                <w:rFonts w:hint="eastAsia" w:ascii="宋体" w:hAnsi="宋体"/>
                <w:szCs w:val="21"/>
              </w:rPr>
              <w:t>金属切削机床制造</w:t>
            </w:r>
            <w:r>
              <w:rPr>
                <w:rFonts w:hint="eastAsia" w:ascii="宋体" w:hAnsi="宋体"/>
                <w:szCs w:val="21"/>
                <w:lang w:eastAsia="zh-CN"/>
              </w:rPr>
              <w:t>。</w:t>
            </w:r>
          </w:p>
          <w:p>
            <w:pPr>
              <w:rPr>
                <w:rFonts w:hint="eastAsia" w:eastAsia="宋体"/>
                <w:sz w:val="20"/>
                <w:lang w:eastAsia="zh-CN"/>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szCs w:val="21"/>
              </w:rPr>
              <w:t>金属切削机床制造所涉及的相关环境管理活动</w:t>
            </w:r>
            <w:r>
              <w:rPr>
                <w:rFonts w:hint="eastAsia" w:ascii="宋体" w:hAnsi="宋体"/>
                <w:szCs w:val="21"/>
                <w:lang w:eastAsia="zh-CN"/>
              </w:rPr>
              <w:t>。</w:t>
            </w:r>
          </w:p>
          <w:p>
            <w:pPr>
              <w:spacing w:line="320" w:lineRule="exact"/>
              <w:rPr>
                <w:rFonts w:hint="eastAsia" w:ascii="宋体" w:hAnsi="宋体" w:eastAsia="宋体"/>
                <w:b/>
                <w:color w:val="000000" w:themeColor="text1"/>
                <w:u w:val="single"/>
                <w:lang w:val="en-GB" w:eastAsia="zh-CN"/>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szCs w:val="21"/>
              </w:rPr>
              <w:t xml:space="preserve">金属切削机床制造所涉及的相关职业健康安全管理活动 </w:t>
            </w:r>
            <w:r>
              <w:rPr>
                <w:rFonts w:hint="eastAsia" w:ascii="宋体" w:hAnsi="宋体"/>
                <w:szCs w:val="21"/>
                <w:lang w:eastAsia="zh-CN"/>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highlight w:val="none"/>
              </w:rPr>
            </w:pPr>
            <w:r>
              <w:rPr>
                <w:rFonts w:hint="eastAsia"/>
                <w:b/>
                <w:color w:val="000000" w:themeColor="text1"/>
                <w:szCs w:val="21"/>
                <w:highlight w:val="none"/>
              </w:rPr>
              <w:t>■</w:t>
            </w:r>
            <w:r>
              <w:rPr>
                <w:rFonts w:hint="eastAsia"/>
                <w:b/>
                <w:color w:val="000000" w:themeColor="text1"/>
                <w:spacing w:val="-4"/>
                <w:highlight w:val="none"/>
              </w:rPr>
              <w:t>在完成纠正措施后</w:t>
            </w:r>
            <w:r>
              <w:rPr>
                <w:rFonts w:hint="eastAsia"/>
                <w:b/>
                <w:color w:val="000000" w:themeColor="text1"/>
                <w:highlight w:val="none"/>
              </w:rPr>
              <w:t>推荐认证注册</w:t>
            </w:r>
            <w:r>
              <w:rPr>
                <w:rFonts w:hint="eastAsia"/>
                <w:b/>
                <w:color w:val="000000" w:themeColor="text1"/>
                <w:szCs w:val="21"/>
                <w:highlight w:val="none"/>
              </w:rPr>
              <w:t xml:space="preserve">(■QMS  </w:t>
            </w:r>
            <w:r>
              <w:rPr>
                <w:rFonts w:hint="eastAsia"/>
                <w:b/>
                <w:color w:val="000000" w:themeColor="text1"/>
                <w:spacing w:val="-10"/>
                <w:szCs w:val="21"/>
                <w:highlight w:val="none"/>
              </w:rPr>
              <w:t xml:space="preserve">   ■</w:t>
            </w:r>
            <w:r>
              <w:rPr>
                <w:rFonts w:hint="eastAsia"/>
                <w:b/>
                <w:color w:val="000000" w:themeColor="text1"/>
                <w:szCs w:val="21"/>
                <w:highlight w:val="none"/>
              </w:rPr>
              <w:t>EMS   ■OHSMS)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rFonts w:hint="eastAsia"/>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pPr>
        <w:spacing w:line="360" w:lineRule="auto"/>
        <w:ind w:left="-850" w:leftChars="-405"/>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5186" w:firstLineChars="2460"/>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w:t>
      </w:r>
      <w:r>
        <w:rPr>
          <w:rFonts w:hint="eastAsia"/>
          <w:b/>
          <w:sz w:val="20"/>
        </w:rPr>
        <w:t>2020年1</w:t>
      </w:r>
      <w:r>
        <w:rPr>
          <w:rFonts w:hint="eastAsia"/>
          <w:b/>
          <w:sz w:val="20"/>
          <w:lang w:val="en-US" w:eastAsia="zh-CN"/>
        </w:rPr>
        <w:t>1</w:t>
      </w:r>
      <w:r>
        <w:rPr>
          <w:rFonts w:hint="eastAsia"/>
          <w:b/>
          <w:sz w:val="20"/>
        </w:rPr>
        <w:t>月</w:t>
      </w:r>
      <w:r>
        <w:rPr>
          <w:rFonts w:hint="eastAsia"/>
          <w:b/>
          <w:sz w:val="20"/>
          <w:lang w:val="en-US" w:eastAsia="zh-CN"/>
        </w:rPr>
        <w:t>21</w:t>
      </w:r>
      <w:r>
        <w:rPr>
          <w:rFonts w:hint="eastAsia"/>
          <w:b/>
          <w:sz w:val="20"/>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highlight w:val="none"/>
        </w:rPr>
      </w:pPr>
      <w:r>
        <w:rPr>
          <w:rFonts w:hint="eastAsia"/>
          <w:b/>
          <w:bCs/>
          <w:color w:val="000000" w:themeColor="text1"/>
          <w:szCs w:val="21"/>
          <w:highlight w:val="none"/>
        </w:rPr>
        <w:t>1.  审核中发现的</w:t>
      </w:r>
      <w:r>
        <w:rPr>
          <w:rFonts w:hint="eastAsia"/>
          <w:b/>
          <w:color w:val="000000" w:themeColor="text1"/>
          <w:spacing w:val="-10"/>
          <w:szCs w:val="21"/>
          <w:highlight w:val="none"/>
          <w:lang w:eastAsia="zh-CN"/>
        </w:rPr>
        <w:t>■</w:t>
      </w:r>
      <w:r>
        <w:rPr>
          <w:rFonts w:hint="eastAsia"/>
          <w:b/>
          <w:color w:val="000000" w:themeColor="text1"/>
          <w:szCs w:val="21"/>
          <w:highlight w:val="none"/>
        </w:rPr>
        <w:t xml:space="preserve">QMS( </w:t>
      </w:r>
      <w:r>
        <w:rPr>
          <w:rFonts w:hint="eastAsia"/>
          <w:b/>
          <w:color w:val="000000" w:themeColor="text1"/>
          <w:szCs w:val="21"/>
          <w:highlight w:val="none"/>
          <w:lang w:val="en-US" w:eastAsia="zh-CN"/>
        </w:rPr>
        <w:t>1</w:t>
      </w:r>
      <w:r>
        <w:rPr>
          <w:rFonts w:hint="eastAsia"/>
          <w:b/>
          <w:color w:val="000000" w:themeColor="text1"/>
          <w:szCs w:val="21"/>
          <w:highlight w:val="none"/>
        </w:rPr>
        <w:t xml:space="preserve"> )个一般不符合，( </w:t>
      </w:r>
      <w:r>
        <w:rPr>
          <w:rFonts w:hint="eastAsia"/>
          <w:b/>
          <w:color w:val="000000" w:themeColor="text1"/>
          <w:szCs w:val="21"/>
          <w:highlight w:val="none"/>
          <w:lang w:val="en-US" w:eastAsia="zh-CN"/>
        </w:rPr>
        <w:t xml:space="preserve">0 </w:t>
      </w:r>
      <w:r>
        <w:rPr>
          <w:rFonts w:hint="eastAsia"/>
          <w:b/>
          <w:color w:val="000000" w:themeColor="text1"/>
          <w:szCs w:val="21"/>
          <w:highlight w:val="none"/>
        </w:rPr>
        <w:t>)个严重不符合，</w:t>
      </w:r>
      <w:r>
        <w:rPr>
          <w:rFonts w:hint="eastAsia"/>
          <w:b/>
          <w:color w:val="000000" w:themeColor="text1"/>
          <w:szCs w:val="21"/>
          <w:highlight w:val="none"/>
          <w:lang w:eastAsia="zh-CN"/>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pacing w:val="-10"/>
          <w:szCs w:val="21"/>
          <w:highlight w:val="none"/>
        </w:rPr>
        <w:t>□</w:t>
      </w:r>
      <w:r>
        <w:rPr>
          <w:rFonts w:hint="eastAsia"/>
          <w:b/>
          <w:color w:val="000000" w:themeColor="text1"/>
          <w:szCs w:val="21"/>
          <w:highlight w:val="none"/>
        </w:rPr>
        <w:t>EMS(   )个一般不符合，(  )个严重不符合，</w:t>
      </w:r>
      <w:r>
        <w:rPr>
          <w:rFonts w:hint="eastAsia"/>
          <w:b/>
          <w:color w:val="000000" w:themeColor="text1"/>
          <w:spacing w:val="-10"/>
          <w:szCs w:val="21"/>
          <w:highlight w:val="none"/>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pacing w:val="-10"/>
          <w:szCs w:val="21"/>
          <w:highlight w:val="none"/>
          <w:lang w:eastAsia="zh-CN"/>
        </w:rPr>
        <w:t>■</w:t>
      </w:r>
      <w:r>
        <w:rPr>
          <w:rFonts w:hint="eastAsia"/>
          <w:b/>
          <w:color w:val="000000" w:themeColor="text1"/>
          <w:szCs w:val="21"/>
          <w:highlight w:val="none"/>
        </w:rPr>
        <w:t>OHSMS(</w:t>
      </w:r>
      <w:bookmarkStart w:id="24" w:name="_GoBack"/>
      <w:bookmarkEnd w:id="24"/>
      <w:r>
        <w:rPr>
          <w:rFonts w:hint="eastAsia"/>
          <w:b/>
          <w:color w:val="000000" w:themeColor="text1"/>
          <w:szCs w:val="21"/>
          <w:highlight w:val="none"/>
        </w:rPr>
        <w:t xml:space="preserve"> </w:t>
      </w:r>
      <w:r>
        <w:rPr>
          <w:rFonts w:hint="eastAsia"/>
          <w:b/>
          <w:color w:val="000000" w:themeColor="text1"/>
          <w:szCs w:val="21"/>
          <w:highlight w:val="none"/>
          <w:lang w:val="en-US" w:eastAsia="zh-CN"/>
        </w:rPr>
        <w:t>1</w:t>
      </w:r>
      <w:r>
        <w:rPr>
          <w:rFonts w:hint="eastAsia"/>
          <w:b/>
          <w:color w:val="000000" w:themeColor="text1"/>
          <w:szCs w:val="21"/>
          <w:highlight w:val="none"/>
        </w:rPr>
        <w:t xml:space="preserve"> )个一般不符合，( </w:t>
      </w:r>
      <w:r>
        <w:rPr>
          <w:rFonts w:hint="eastAsia"/>
          <w:b/>
          <w:color w:val="000000" w:themeColor="text1"/>
          <w:szCs w:val="21"/>
          <w:highlight w:val="none"/>
          <w:lang w:val="en-US" w:eastAsia="zh-CN"/>
        </w:rPr>
        <w:t>0</w:t>
      </w:r>
      <w:r>
        <w:rPr>
          <w:rFonts w:hint="eastAsia"/>
          <w:b/>
          <w:color w:val="000000" w:themeColor="text1"/>
          <w:szCs w:val="21"/>
          <w:highlight w:val="none"/>
        </w:rPr>
        <w:t xml:space="preserve"> )个严重不符合，</w:t>
      </w:r>
      <w:r>
        <w:rPr>
          <w:rFonts w:hint="eastAsia"/>
          <w:b/>
          <w:color w:val="000000" w:themeColor="text1"/>
          <w:szCs w:val="21"/>
          <w:highlight w:val="none"/>
          <w:lang w:eastAsia="zh-CN"/>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u w:val="single"/>
        </w:rPr>
      </w:pPr>
      <w:r>
        <w:rPr>
          <w:rFonts w:hint="eastAsia"/>
          <w:b/>
          <w:color w:val="000000" w:themeColor="text1"/>
          <w:szCs w:val="21"/>
          <w:highlight w:val="none"/>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日期:     </w:t>
      </w:r>
      <w:r>
        <w:rPr>
          <w:rFonts w:hint="eastAsia"/>
          <w:b/>
          <w:color w:val="000000" w:themeColor="text1"/>
          <w:szCs w:val="21"/>
          <w:lang w:val="en-US" w:eastAsia="zh-CN"/>
        </w:rPr>
        <w:t xml:space="preserve">  </w:t>
      </w:r>
      <w:r>
        <w:rPr>
          <w:rFonts w:hint="eastAsia"/>
          <w:b/>
          <w:color w:val="000000" w:themeColor="text1"/>
          <w:szCs w:val="21"/>
        </w:rPr>
        <w:t xml:space="preserve"> </w:t>
      </w:r>
      <w:r>
        <w:rPr>
          <w:rFonts w:hint="eastAsia"/>
          <w:b/>
          <w:color w:val="000000" w:themeColor="text1"/>
          <w:szCs w:val="21"/>
          <w:lang w:val="en-US" w:eastAsia="zh-CN"/>
        </w:rPr>
        <w:t xml:space="preserve"> </w:t>
      </w:r>
      <w:r>
        <w:rPr>
          <w:rFonts w:hint="eastAsia"/>
          <w:b/>
          <w:color w:val="000000" w:themeColor="text1"/>
          <w:szCs w:val="21"/>
        </w:rPr>
        <w:t xml:space="preserve">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8"/>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8"/>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3"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3"/>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F711BD"/>
    <w:multiLevelType w:val="singleLevel"/>
    <w:tmpl w:val="B4F711BD"/>
    <w:lvl w:ilvl="0" w:tentative="0">
      <w:start w:val="2"/>
      <w:numFmt w:val="decimal"/>
      <w:lvlText w:val="%1."/>
      <w:lvlJc w:val="left"/>
      <w:pPr>
        <w:tabs>
          <w:tab w:val="left" w:pos="312"/>
        </w:tabs>
      </w:pPr>
    </w:lvl>
  </w:abstractNum>
  <w:abstractNum w:abstractNumId="1">
    <w:nsid w:val="BE79F476"/>
    <w:multiLevelType w:val="singleLevel"/>
    <w:tmpl w:val="BE79F476"/>
    <w:lvl w:ilvl="0" w:tentative="0">
      <w:start w:val="5"/>
      <w:numFmt w:val="decimal"/>
      <w:suff w:val="space"/>
      <w:lvlText w:val="%1."/>
      <w:lvlJc w:val="left"/>
    </w:lvl>
  </w:abstractNum>
  <w:abstractNum w:abstractNumId="2">
    <w:nsid w:val="CE2CDACA"/>
    <w:multiLevelType w:val="singleLevel"/>
    <w:tmpl w:val="CE2CDACA"/>
    <w:lvl w:ilvl="0" w:tentative="0">
      <w:start w:val="1"/>
      <w:numFmt w:val="decimal"/>
      <w:suff w:val="nothing"/>
      <w:lvlText w:val="%1）"/>
      <w:lvlJc w:val="left"/>
      <w:pPr>
        <w:ind w:left="105" w:leftChars="0" w:firstLine="0" w:firstLineChars="0"/>
      </w:pPr>
    </w:lvl>
  </w:abstractNum>
  <w:abstractNum w:abstractNumId="3">
    <w:nsid w:val="105CE750"/>
    <w:multiLevelType w:val="singleLevel"/>
    <w:tmpl w:val="105CE750"/>
    <w:lvl w:ilvl="0" w:tentative="0">
      <w:start w:val="2"/>
      <w:numFmt w:val="decimal"/>
      <w:suff w:val="nothing"/>
      <w:lvlText w:val="%1、"/>
      <w:lvlJc w:val="left"/>
    </w:lvl>
  </w:abstractNum>
  <w:abstractNum w:abstractNumId="4">
    <w:nsid w:val="260EA808"/>
    <w:multiLevelType w:val="singleLevel"/>
    <w:tmpl w:val="260EA808"/>
    <w:lvl w:ilvl="0" w:tentative="0">
      <w:start w:val="8"/>
      <w:numFmt w:val="decimal"/>
      <w:suff w:val="space"/>
      <w:lvlText w:val="%1."/>
      <w:lvlJc w:val="left"/>
    </w:lvl>
  </w:abstractNum>
  <w:abstractNum w:abstractNumId="5">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5"/>
  </w:num>
  <w:num w:numId="2">
    <w:abstractNumId w:val="3"/>
  </w:num>
  <w:num w:numId="3">
    <w:abstractNumId w:val="6"/>
  </w:num>
  <w:num w:numId="4">
    <w:abstractNumId w:val="4"/>
  </w:num>
  <w:num w:numId="5">
    <w:abstractNumId w:val="0"/>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0A047F6"/>
    <w:rsid w:val="393125C3"/>
    <w:rsid w:val="455F4920"/>
    <w:rsid w:val="47C86B55"/>
    <w:rsid w:val="574E01DA"/>
    <w:rsid w:val="5F816D3B"/>
    <w:rsid w:val="5F9D027A"/>
    <w:rsid w:val="69797D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2"/>
        <o:r id="V:Rule2" type="connector" idref="#_x0000_s205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Body Text"/>
    <w:basedOn w:val="1"/>
    <w:qFormat/>
    <w:uiPriority w:val="99"/>
    <w:pPr>
      <w:spacing w:after="120" w:afterLines="0"/>
    </w:pPr>
    <w:rPr>
      <w:kern w:val="2"/>
      <w:sz w:val="21"/>
    </w:rPr>
  </w:style>
  <w:style w:type="paragraph" w:styleId="4">
    <w:name w:val="Balloon Text"/>
    <w:basedOn w:val="1"/>
    <w:link w:val="15"/>
    <w:semiHidden/>
    <w:unhideWhenUsed/>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9">
    <w:name w:val="Table Grid"/>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2"/>
    <customShpInfo spid="_x0000_s2053"/>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3</TotalTime>
  <ScaleCrop>false</ScaleCrop>
  <LinksUpToDate>false</LinksUpToDate>
  <CharactersWithSpaces>5143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DELL</cp:lastModifiedBy>
  <cp:lastPrinted>2019-05-13T03:19:00Z</cp:lastPrinted>
  <dcterms:modified xsi:type="dcterms:W3CDTF">2020-11-21T05:23:08Z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