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中国石化塔河炼化有限责任公司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0133-2019-2020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0133-2019-2020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518"/>
        <w:gridCol w:w="1626"/>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中国石化塔河炼化有限责任公司</w:t>
            </w:r>
            <w:bookmarkEnd w:id="4"/>
          </w:p>
        </w:tc>
        <w:tc>
          <w:tcPr>
            <w:tcW w:w="162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1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费江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ISC-M-2019-0420</w:t>
            </w:r>
            <w:bookmarkEnd w:id="6"/>
          </w:p>
        </w:tc>
        <w:tc>
          <w:tcPr>
            <w:tcW w:w="162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1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2024-11-12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62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1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2020年11月27日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18" w:type="dxa"/>
          </w:tcPr>
          <w:p>
            <w:pPr>
              <w:spacing w:line="240" w:lineRule="exact"/>
              <w:jc w:val="center"/>
              <w:rPr>
                <w:rFonts w:hint="eastAsia" w:cs="宋体" w:asciiTheme="minorEastAsia" w:hAnsiTheme="minorEastAsia" w:eastAsiaTheme="minorEastAsia"/>
                <w:kern w:val="0"/>
                <w:szCs w:val="21"/>
                <w:lang w:val="en-US" w:eastAsia="zh-CN"/>
              </w:rPr>
            </w:pPr>
            <w:r>
              <w:rPr>
                <w:rFonts w:hint="eastAsia"/>
                <w:color w:val="000000"/>
                <w:szCs w:val="21"/>
                <w:shd w:val="pct10" w:color="auto" w:fill="FFFFFF"/>
                <w:lang w:val="en-US" w:eastAsia="zh-CN"/>
              </w:rPr>
              <w:t>李菁</w:t>
            </w:r>
            <w:r>
              <w:rPr>
                <w:color w:val="000000"/>
                <w:szCs w:val="21"/>
                <w:shd w:val="pct10" w:color="auto" w:fill="FFFFFF"/>
              </w:rPr>
              <w:t>中认协评[</w:t>
            </w:r>
            <w:r>
              <w:rPr>
                <w:rFonts w:hint="eastAsia"/>
                <w:color w:val="000000"/>
                <w:szCs w:val="21"/>
                <w:shd w:val="pct10" w:color="auto" w:fill="FFFFFF"/>
                <w:lang w:val="en-US" w:eastAsia="zh-CN"/>
              </w:rPr>
              <w:t>2018</w:t>
            </w:r>
            <w:r>
              <w:rPr>
                <w:color w:val="000000"/>
                <w:szCs w:val="21"/>
                <w:shd w:val="pct10" w:color="auto" w:fill="FFFFFF"/>
              </w:rPr>
              <w:t>]</w:t>
            </w:r>
            <w:r>
              <w:rPr>
                <w:rFonts w:hint="eastAsia"/>
                <w:color w:val="000000"/>
                <w:szCs w:val="21"/>
                <w:shd w:val="pct10" w:color="auto" w:fill="FFFFFF"/>
                <w:lang w:val="en-US" w:eastAsia="zh-CN"/>
              </w:rPr>
              <w:t>98</w:t>
            </w:r>
            <w:r>
              <w:rPr>
                <w:color w:val="000000"/>
                <w:szCs w:val="21"/>
                <w:shd w:val="pct10" w:color="auto" w:fill="FFFFFF"/>
              </w:rPr>
              <w:t>号</w:t>
            </w:r>
            <w:r>
              <w:rPr>
                <w:rFonts w:hint="eastAsia"/>
                <w:color w:val="000000"/>
                <w:szCs w:val="21"/>
                <w:shd w:val="pct10" w:color="auto" w:fill="FFFFFF"/>
                <w:lang w:val="en-US" w:eastAsia="zh-CN"/>
              </w:rPr>
              <w:t>/俞军</w:t>
            </w:r>
            <w:r>
              <w:rPr>
                <w:color w:val="000000"/>
                <w:szCs w:val="21"/>
                <w:shd w:val="pct10" w:color="auto" w:fill="FFFFFF"/>
              </w:rPr>
              <w:t>中认协评[2020]112号</w:t>
            </w:r>
            <w:r>
              <w:rPr>
                <w:rFonts w:hint="eastAsia"/>
                <w:color w:val="000000"/>
                <w:szCs w:val="21"/>
                <w:shd w:val="pct10" w:color="auto" w:fill="FFFFFF"/>
                <w:lang w:val="en-US" w:eastAsia="zh-CN"/>
              </w:rPr>
              <w:t>郁周</w:t>
            </w:r>
            <w:r>
              <w:rPr>
                <w:color w:val="000000"/>
                <w:szCs w:val="21"/>
                <w:shd w:val="pct10" w:color="auto" w:fill="FFFFFF"/>
              </w:rPr>
              <w:t>ISC-JSZJ-203金陵石化</w:t>
            </w:r>
          </w:p>
        </w:tc>
        <w:tc>
          <w:tcPr>
            <w:tcW w:w="162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kern w:val="0"/>
                <w:szCs w:val="21"/>
              </w:rPr>
              <w:t>监督审核涉及的区域或部门</w:t>
            </w:r>
          </w:p>
        </w:tc>
        <w:tc>
          <w:tcPr>
            <w:tcW w:w="2518"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企管处/生产管理部/安全环保部/质量计量检验中心/储运作业部/炼油第一作业部/公用工程作业部/供销中心/炼油第二作业部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kern w:val="0"/>
          <w:szCs w:val="21"/>
        </w:rPr>
      </w:pPr>
      <w:r>
        <w:rPr>
          <w:rFonts w:hint="eastAsia" w:ascii="宋体" w:hAnsi="宋体" w:cs="宋体"/>
          <w:bCs/>
          <w:kern w:val="0"/>
          <w:sz w:val="24"/>
          <w:szCs w:val="24"/>
          <w:lang w:val="en-US" w:eastAsia="zh-CN"/>
        </w:rPr>
        <w:t xml:space="preserve"> </w:t>
      </w:r>
      <w:r>
        <w:rPr>
          <w:rFonts w:hint="eastAsia" w:ascii="宋体" w:hAnsi="宋体" w:cs="宋体"/>
          <w:bCs/>
          <w:kern w:val="0"/>
          <w:sz w:val="21"/>
          <w:szCs w:val="21"/>
        </w:rPr>
        <w:t>一年内，</w:t>
      </w:r>
      <w:r>
        <w:rPr>
          <w:rFonts w:hint="eastAsia" w:ascii="宋体" w:hAnsi="宋体"/>
          <w:sz w:val="21"/>
          <w:szCs w:val="21"/>
        </w:rPr>
        <w:t>公司</w:t>
      </w:r>
      <w:r>
        <w:rPr>
          <w:rFonts w:hint="eastAsia"/>
          <w:bCs/>
          <w:sz w:val="21"/>
          <w:szCs w:val="21"/>
        </w:rPr>
        <w:t>日常运行中生产、经营、安全、销售及管理方面，比去年都有一定提升，未见</w:t>
      </w:r>
      <w:r>
        <w:rPr>
          <w:rFonts w:hint="eastAsia" w:ascii="宋体" w:hAnsi="宋体" w:cs="宋体"/>
          <w:bCs/>
          <w:kern w:val="0"/>
          <w:sz w:val="21"/>
          <w:szCs w:val="21"/>
        </w:rPr>
        <w:t>违反法律、法规问题或重大质量事故发生。</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北京国标联合认证公司派出审核组2人现场，1人远程于11月27日到11月28日利用2天的时间根据审核计划先后抽样检查了企业5个职能管理部门和4个生产作业单位，覆盖了GB/T 19022-2003标准的所有要素和体系涉及的主要范围，涉及公司生产、质量、安全和环境管理等。为有效评价公司体系运行的质量，审核组重点检查了公司计量特征突出的重要环安全生产、贸易结算、环境监测和产品质量，掌握了企业测量管理体系的运行状况和品质。在审核中发现：一年来，在公司领导关心、企管部等单位的指导下，公司计量工作流程逐步清晰，计量操作行为日趋规范，关键测量过程逐步受控，</w:t>
      </w:r>
      <w:r>
        <w:rPr>
          <w:rFonts w:hint="eastAsia" w:eastAsia="宋体"/>
          <w:b w:val="0"/>
          <w:bCs/>
          <w:szCs w:val="21"/>
          <w:lang w:val="en-US" w:eastAsia="zh-CN"/>
        </w:rPr>
        <w:t>质量计量检验中心</w:t>
      </w:r>
      <w:r>
        <w:rPr>
          <w:rFonts w:hint="eastAsia"/>
          <w:sz w:val="21"/>
          <w:szCs w:val="21"/>
          <w:lang w:val="en-US" w:eastAsia="zh-CN"/>
        </w:rPr>
        <w:t>坚持以问题为导向，全面梳理原油等测量过程监督管理存在的风险点，效果逐渐显现。进一步提升了公司计量专业化管理水平。</w:t>
      </w:r>
    </w:p>
    <w:p>
      <w:pPr>
        <w:tabs>
          <w:tab w:val="left" w:pos="720"/>
        </w:tabs>
        <w:spacing w:line="360" w:lineRule="auto"/>
        <w:ind w:firstLine="420" w:firstLineChars="200"/>
        <w:rPr>
          <w:rFonts w:hint="eastAsia"/>
          <w:sz w:val="21"/>
          <w:szCs w:val="21"/>
          <w:lang w:val="en-US" w:eastAsia="zh-CN"/>
        </w:rPr>
      </w:pPr>
      <w:r>
        <w:rPr>
          <w:rFonts w:hint="eastAsia" w:ascii="宋体" w:hAnsi="宋体" w:eastAsia="宋体" w:cs="宋体"/>
          <w:sz w:val="21"/>
          <w:szCs w:val="21"/>
          <w:lang w:val="en-US" w:eastAsia="zh-CN"/>
        </w:rPr>
        <w:t>亮点一：为了确保公司测量管理体系高度测量过程运行正常，企业加强对进出厂计量</w:t>
      </w:r>
      <w:r>
        <w:rPr>
          <w:rFonts w:hint="eastAsia"/>
          <w:sz w:val="21"/>
          <w:szCs w:val="21"/>
          <w:lang w:val="en-US" w:eastAsia="zh-CN"/>
        </w:rPr>
        <w:t>器具的管理力度，按照产品出厂运输、计量方式不同，依据国家标准重新修订了《铁运产品进出厂检尺测量作业指导书》、《汽运产品进出厂汽车衡测量作业指导书》等11个作业指导书，明确了不同测量过程的作业要求，规范岗位操作行为，通过每周一次的高频率期间核查，避免计量设备在检定有效期内故障可能带来的计量数据偏差风险，保证了汽车衡等重要计量器具的准确性和稳定性。</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亮点二：现场抽样辛烷值测量过程，测量设备编号; 5283700784：盲样名称92#车用汽油辛烷值，采样地点503#罐，采样时间2020年08月13日数据抽查：盲样2020年11月27日检测结果为92.6，核验MES系统检测数据为92.6。数据一致。</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亮点三：核查高度测量过程成品油、固体产品出厂：汽车车牌为新N44487核验器具编号分别为Q02082、000277-DKS 3号门，测量数据分别为17220吨、17240吨，差值20kg。</w:t>
      </w:r>
    </w:p>
    <w:p>
      <w:pPr>
        <w:tabs>
          <w:tab w:val="left" w:pos="720"/>
        </w:tabs>
        <w:spacing w:line="360" w:lineRule="auto"/>
        <w:rPr>
          <w:rFonts w:hint="eastAsia"/>
          <w:sz w:val="21"/>
          <w:szCs w:val="21"/>
          <w:lang w:val="en-US" w:eastAsia="zh-CN"/>
        </w:rPr>
      </w:pPr>
      <w:r>
        <w:rPr>
          <w:rFonts w:hint="eastAsia"/>
          <w:sz w:val="21"/>
          <w:szCs w:val="21"/>
          <w:lang w:val="en-US" w:eastAsia="zh-CN"/>
        </w:rPr>
        <w:t>电子汽车衡期间核查记录完整，严格执行两辆衡器数据比对。</w:t>
      </w:r>
    </w:p>
    <w:p>
      <w:pPr>
        <w:widowControl/>
        <w:numPr>
          <w:ilvl w:val="0"/>
          <w:numId w:val="0"/>
        </w:numPr>
        <w:spacing w:line="276" w:lineRule="auto"/>
        <w:ind w:firstLine="630" w:firstLineChars="300"/>
        <w:rPr>
          <w:rFonts w:hint="eastAsia" w:cs="宋体" w:asciiTheme="minorEastAsia" w:hAnsiTheme="minorEastAsia" w:eastAsiaTheme="minorEastAsia"/>
          <w:bCs/>
          <w:kern w:val="0"/>
          <w:szCs w:val="21"/>
          <w:lang w:eastAsia="zh-CN"/>
        </w:rPr>
      </w:pPr>
      <w:r>
        <w:rPr>
          <w:rFonts w:hint="eastAsia" w:cs="宋体" w:asciiTheme="minorEastAsia" w:hAnsiTheme="minorEastAsia"/>
          <w:kern w:val="0"/>
          <w:szCs w:val="21"/>
          <w:lang w:val="en-US" w:eastAsia="zh-CN"/>
        </w:rPr>
        <w:t>审核组认为</w:t>
      </w:r>
      <w:r>
        <w:rPr>
          <w:rFonts w:cs="宋体" w:asciiTheme="minorEastAsia" w:hAnsiTheme="minorEastAsia"/>
          <w:kern w:val="0"/>
          <w:szCs w:val="21"/>
        </w:rPr>
        <w:t>中国石化塔河炼化有限责任公司</w:t>
      </w:r>
      <w:r>
        <w:rPr>
          <w:rFonts w:hint="eastAsia" w:ascii="宋体" w:hAnsi="宋体" w:cs="宋体"/>
          <w:bCs/>
          <w:color w:val="000000" w:themeColor="text1"/>
          <w:kern w:val="0"/>
          <w:sz w:val="21"/>
          <w:szCs w:val="21"/>
        </w:rPr>
        <w:t>量管理体系的符合性、有效性及持续改进，符合GB/T 19022-2003标准要求</w:t>
      </w:r>
      <w:r>
        <w:rPr>
          <w:rFonts w:hint="eastAsia" w:ascii="宋体" w:hAnsi="宋体" w:cs="宋体"/>
          <w:bCs/>
          <w:color w:val="000000" w:themeColor="text1"/>
          <w:kern w:val="0"/>
          <w:sz w:val="21"/>
          <w:szCs w:val="21"/>
          <w:lang w:eastAsia="zh-CN"/>
        </w:rPr>
        <w:t>。</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napToGrid w:val="0"/>
        <w:spacing w:line="360" w:lineRule="auto"/>
        <w:rPr>
          <w:rFonts w:hint="eastAsia" w:ascii="宋体" w:hAnsi="宋体" w:cs="黑体"/>
          <w:bCs/>
          <w:color w:val="000000"/>
          <w:szCs w:val="21"/>
          <w:highlight w:val="none"/>
        </w:rPr>
      </w:pPr>
      <w:r>
        <w:rPr>
          <w:rFonts w:hint="eastAsia" w:ascii="宋体" w:hAnsi="宋体" w:cs="黑体"/>
          <w:bCs/>
          <w:color w:val="000000"/>
          <w:szCs w:val="21"/>
          <w:highlight w:val="none"/>
        </w:rPr>
        <w:t>公司2020年7月14日—7月17日</w:t>
      </w:r>
      <w:r>
        <w:rPr>
          <w:rFonts w:hint="eastAsia" w:ascii="宋体" w:hAnsi="宋体" w:cs="黑体"/>
          <w:bCs/>
          <w:color w:val="000000"/>
          <w:szCs w:val="21"/>
          <w:highlight w:val="none"/>
          <w:lang w:val="en-US" w:eastAsia="zh-CN"/>
        </w:rPr>
        <w:t>组织了一体化内审</w:t>
      </w:r>
      <w:r>
        <w:rPr>
          <w:rFonts w:hint="eastAsia" w:ascii="宋体" w:hAnsi="宋体" w:cs="黑体"/>
          <w:bCs/>
          <w:color w:val="000000"/>
          <w:szCs w:val="21"/>
          <w:highlight w:val="none"/>
        </w:rPr>
        <w:t>，公司对内审方案做了策划，内审记录清晰，内审报告表述清楚，并对QEO</w:t>
      </w:r>
      <w:r>
        <w:rPr>
          <w:rFonts w:hint="eastAsia" w:ascii="宋体" w:hAnsi="宋体" w:cs="黑体"/>
          <w:bCs/>
          <w:color w:val="000000"/>
          <w:szCs w:val="21"/>
          <w:highlight w:val="none"/>
          <w:lang w:val="en-US" w:eastAsia="zh-CN"/>
        </w:rPr>
        <w:t>M</w:t>
      </w:r>
      <w:r>
        <w:rPr>
          <w:rFonts w:hint="eastAsia" w:ascii="宋体" w:hAnsi="宋体" w:cs="黑体"/>
          <w:bCs/>
          <w:color w:val="000000"/>
          <w:szCs w:val="21"/>
          <w:highlight w:val="none"/>
        </w:rPr>
        <w:t>管理体系的三性进行评价，并得出结论意见，内审开具6份不符合报告，提出56个问题，均有整改验证。</w:t>
      </w:r>
    </w:p>
    <w:p>
      <w:pPr>
        <w:widowControl/>
        <w:spacing w:line="276" w:lineRule="auto"/>
        <w:ind w:firstLine="420" w:firstLineChars="200"/>
        <w:rPr>
          <w:rFonts w:hint="eastAsia" w:ascii="宋体" w:hAnsi="宋体" w:cs="黑体"/>
          <w:bCs/>
          <w:color w:val="000000"/>
          <w:szCs w:val="21"/>
          <w:highlight w:val="none"/>
        </w:rPr>
      </w:pPr>
      <w:r>
        <w:rPr>
          <w:rFonts w:hint="eastAsia" w:ascii="宋体" w:hAnsi="宋体" w:cs="黑体"/>
          <w:bCs/>
          <w:color w:val="000000"/>
          <w:szCs w:val="21"/>
          <w:highlight w:val="none"/>
        </w:rPr>
        <w:t>管理评审：2020年</w:t>
      </w:r>
      <w:r>
        <w:rPr>
          <w:rFonts w:hint="eastAsia" w:ascii="宋体" w:hAnsi="宋体" w:cs="黑体"/>
          <w:bCs/>
          <w:color w:val="000000"/>
          <w:szCs w:val="21"/>
          <w:highlight w:val="none"/>
          <w:lang w:val="en-US" w:eastAsia="zh-CN"/>
        </w:rPr>
        <w:t>8</w:t>
      </w:r>
      <w:r>
        <w:rPr>
          <w:rFonts w:hint="eastAsia" w:ascii="宋体" w:hAnsi="宋体" w:cs="黑体"/>
          <w:bCs/>
          <w:color w:val="000000"/>
          <w:szCs w:val="21"/>
          <w:highlight w:val="none"/>
        </w:rPr>
        <w:t>月7日</w:t>
      </w:r>
      <w:r>
        <w:rPr>
          <w:rFonts w:hint="eastAsia" w:ascii="宋体" w:hAnsi="宋体" w:cs="黑体"/>
          <w:bCs/>
          <w:color w:val="000000"/>
          <w:szCs w:val="21"/>
          <w:highlight w:val="none"/>
          <w:lang w:val="en-US" w:eastAsia="zh-CN"/>
        </w:rPr>
        <w:t>公司组织了一体化管理评审</w:t>
      </w:r>
      <w:r>
        <w:rPr>
          <w:rFonts w:hint="eastAsia" w:ascii="宋体" w:hAnsi="宋体" w:cs="黑体"/>
          <w:bCs/>
          <w:color w:val="000000"/>
          <w:szCs w:val="21"/>
          <w:highlight w:val="none"/>
        </w:rPr>
        <w:t>，评审采用会议方式进行，管理评审输入13个方面内容和管理评审会议记录，管理评审报告中有评审结论，管理评审输出中改进建议5条，并将改进建议进行细化分解，由责任单位逐项进行落实改进。由体系主管部门对改进情况跟踪检查，管理评审改进建议均得到落实并取得良好的效果。</w:t>
      </w:r>
    </w:p>
    <w:p>
      <w:pPr>
        <w:numPr>
          <w:ilvl w:val="0"/>
          <w:numId w:val="1"/>
        </w:numPr>
        <w:spacing w:line="360" w:lineRule="auto"/>
        <w:ind w:left="0" w:leftChars="0" w:firstLine="0" w:firstLineChars="0"/>
        <w:rPr>
          <w:rFonts w:hint="eastAsia" w:cs="宋体" w:asciiTheme="minorEastAsia" w:hAnsiTheme="minorEastAsia"/>
          <w:bCs/>
          <w:kern w:val="0"/>
          <w:szCs w:val="21"/>
          <w:lang w:eastAsia="zh-CN"/>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hint="eastAsia" w:cs="宋体" w:asciiTheme="minorEastAsia" w:hAnsiTheme="minorEastAsia"/>
          <w:bCs/>
          <w:kern w:val="0"/>
          <w:szCs w:val="21"/>
          <w:lang w:eastAsia="zh-CN"/>
        </w:rPr>
        <w:t>：</w:t>
      </w:r>
    </w:p>
    <w:p>
      <w:pPr>
        <w:numPr>
          <w:ilvl w:val="0"/>
          <w:numId w:val="0"/>
        </w:numPr>
        <w:spacing w:line="360" w:lineRule="auto"/>
        <w:ind w:leftChars="0" w:firstLine="210" w:firstLineChars="100"/>
        <w:rPr>
          <w:rFonts w:hint="default" w:ascii="宋体" w:hAnsi="宋体"/>
          <w:szCs w:val="21"/>
          <w:lang w:val="en-US"/>
        </w:rPr>
      </w:pPr>
      <w:r>
        <w:rPr>
          <w:rFonts w:hint="eastAsia" w:cs="宋体" w:asciiTheme="minorEastAsia" w:hAnsiTheme="minorEastAsia"/>
          <w:bCs/>
          <w:kern w:val="0"/>
          <w:szCs w:val="21"/>
          <w:lang w:val="en-US" w:eastAsia="zh-CN"/>
        </w:rPr>
        <w:t>企业未有新增测量过程，查</w:t>
      </w:r>
      <w:r>
        <w:rPr>
          <w:rFonts w:hint="eastAsia" w:ascii="宋体" w:hAnsi="宋体"/>
          <w:szCs w:val="21"/>
        </w:rPr>
        <w:t>辛烷值</w:t>
      </w:r>
      <w:r>
        <w:rPr>
          <w:rFonts w:hint="eastAsia" w:ascii="宋体" w:hAnsi="宋体"/>
          <w:szCs w:val="21"/>
          <w:lang w:eastAsia="zh-CN"/>
        </w:rPr>
        <w:t>测量过程</w:t>
      </w:r>
      <w:r>
        <w:rPr>
          <w:rFonts w:hint="eastAsia" w:ascii="宋体" w:hAnsi="宋体"/>
          <w:szCs w:val="21"/>
        </w:rPr>
        <w:t xml:space="preserve"> 、</w:t>
      </w:r>
      <w:r>
        <w:rPr>
          <w:rFonts w:hint="eastAsia" w:ascii="宋体" w:hAnsi="宋体"/>
          <w:szCs w:val="21"/>
          <w:lang w:val="en-US" w:eastAsia="zh-CN"/>
        </w:rPr>
        <w:t>炼油二部1#加氢</w:t>
      </w:r>
      <w:r>
        <w:rPr>
          <w:rFonts w:hint="eastAsia" w:ascii="宋体" w:hAnsi="宋体"/>
          <w:szCs w:val="21"/>
        </w:rPr>
        <w:t>装置</w:t>
      </w:r>
      <w:r>
        <w:rPr>
          <w:rFonts w:hint="eastAsia" w:ascii="宋体" w:hAnsi="宋体"/>
          <w:szCs w:val="21"/>
          <w:lang w:val="en-US" w:eastAsia="zh-CN"/>
        </w:rPr>
        <w:t>分馏塔T-2101进料温度控制、</w:t>
      </w:r>
      <w:r>
        <w:rPr>
          <w:rFonts w:hint="eastAsia"/>
          <w:sz w:val="21"/>
          <w:szCs w:val="21"/>
          <w:lang w:val="en-US" w:eastAsia="zh-CN"/>
        </w:rPr>
        <w:t>成品油、固体产品出厂</w:t>
      </w:r>
      <w:r>
        <w:rPr>
          <w:rFonts w:hint="eastAsia" w:ascii="宋体" w:hAnsi="宋体"/>
          <w:szCs w:val="21"/>
          <w:lang w:val="en-US" w:eastAsia="zh-CN"/>
        </w:rPr>
        <w:t>等</w:t>
      </w:r>
      <w:r>
        <w:rPr>
          <w:rFonts w:hint="eastAsia" w:ascii="宋体"/>
          <w:bCs/>
          <w:color w:val="000000"/>
          <w:szCs w:val="21"/>
        </w:rPr>
        <w:t>测量</w:t>
      </w:r>
      <w:r>
        <w:rPr>
          <w:rFonts w:hint="eastAsia" w:ascii="宋体"/>
          <w:bCs/>
          <w:color w:val="000000"/>
          <w:szCs w:val="21"/>
          <w:lang w:val="en-US" w:eastAsia="zh-CN"/>
        </w:rPr>
        <w:t>过程能持续控制和监视，</w:t>
      </w:r>
      <w:r>
        <w:rPr>
          <w:rFonts w:hint="eastAsia"/>
          <w:sz w:val="21"/>
          <w:szCs w:val="21"/>
          <w:lang w:val="en-US" w:eastAsia="zh-CN"/>
        </w:rPr>
        <w:t>企业对辛烷值分析测量过程，按照控制规范，每年两次对使用的标准物质核查，确保标准物质在有效期内使用且性质稳定。每年一次委托有资质部门对仪器检定，每年参加实验室质检比对至少3次，数据可疑时及时查找原因并及时解决。平时做好大型仪器的日常巡检、维护、定期保养并做好记录（润滑、积碳等）。分析时严格按操作规程，待仪器参数条件达到且仪器平稳运行后，才开始分析样品，减少不确定因素对分析结果造成影响。</w:t>
      </w:r>
    </w:p>
    <w:p>
      <w:pPr>
        <w:spacing w:line="360" w:lineRule="auto"/>
        <w:rPr>
          <w:rFonts w:hint="eastAsia" w:ascii="宋体" w:hAnsi="宋体" w:eastAsiaTheme="minorEastAsia"/>
          <w:szCs w:val="21"/>
          <w:lang w:val="en-US" w:eastAsia="zh-CN"/>
        </w:rPr>
      </w:pPr>
      <w:r>
        <w:rPr>
          <w:rFonts w:hint="eastAsia" w:ascii="宋体" w:hAnsi="宋体"/>
          <w:szCs w:val="21"/>
          <w:lang w:val="en-US" w:eastAsia="zh-CN"/>
        </w:rPr>
        <w:t>4.1</w:t>
      </w:r>
      <w:r>
        <w:rPr>
          <w:rFonts w:hint="eastAsia" w:ascii="宋体" w:hAnsi="宋体"/>
          <w:szCs w:val="21"/>
        </w:rPr>
        <w:t>现场重点抽查了辛烷值</w:t>
      </w:r>
      <w:r>
        <w:rPr>
          <w:rFonts w:hint="eastAsia" w:ascii="宋体" w:hAnsi="宋体"/>
          <w:szCs w:val="21"/>
          <w:lang w:eastAsia="zh-CN"/>
        </w:rPr>
        <w:t>测量过程</w:t>
      </w:r>
      <w:r>
        <w:rPr>
          <w:rFonts w:hint="eastAsia" w:ascii="宋体" w:hAnsi="宋体"/>
          <w:szCs w:val="21"/>
          <w:lang w:val="en-US" w:eastAsia="zh-CN"/>
        </w:rPr>
        <w:t>计量要求导出方法正确，测量设备经过检定/校准/验证，满足要求。</w:t>
      </w:r>
      <w:r>
        <w:rPr>
          <w:rFonts w:hint="eastAsia" w:ascii="宋体" w:hAnsi="宋体"/>
          <w:szCs w:val="21"/>
        </w:rPr>
        <w:t>详见附件</w:t>
      </w:r>
      <w:r>
        <w:rPr>
          <w:rFonts w:hint="eastAsia" w:ascii="宋体" w:hAnsi="宋体"/>
          <w:szCs w:val="21"/>
          <w:lang w:eastAsia="zh-CN"/>
        </w:rPr>
        <w:t>《</w:t>
      </w:r>
      <w:r>
        <w:rPr>
          <w:rFonts w:hint="eastAsia" w:ascii="宋体" w:hAnsi="宋体"/>
          <w:szCs w:val="21"/>
          <w:lang w:val="en-US" w:eastAsia="zh-CN"/>
        </w:rPr>
        <w:t>计量要求导出及验证记录</w:t>
      </w:r>
      <w:r>
        <w:rPr>
          <w:rFonts w:hint="eastAsia" w:ascii="宋体" w:hAnsi="宋体"/>
          <w:szCs w:val="21"/>
          <w:lang w:eastAsia="zh-CN"/>
        </w:rPr>
        <w:t>》</w:t>
      </w:r>
    </w:p>
    <w:p>
      <w:pPr>
        <w:spacing w:line="360" w:lineRule="auto"/>
        <w:rPr>
          <w:rFonts w:hint="eastAsia" w:ascii="宋体" w:hAnsi="宋体" w:eastAsia="宋体"/>
          <w:szCs w:val="21"/>
          <w:lang w:eastAsia="zh-CN"/>
        </w:rPr>
      </w:pPr>
      <w:r>
        <w:rPr>
          <w:rFonts w:hint="eastAsia" w:ascii="宋体" w:hAnsi="宋体"/>
          <w:szCs w:val="21"/>
          <w:lang w:val="en-US" w:eastAsia="zh-CN"/>
        </w:rPr>
        <w:t>4.2现场重点查了</w:t>
      </w:r>
      <w:r>
        <w:rPr>
          <w:rFonts w:hint="eastAsia" w:ascii="宋体" w:hAnsi="宋体"/>
          <w:szCs w:val="21"/>
        </w:rPr>
        <w:t>辛烷值</w:t>
      </w:r>
      <w:r>
        <w:rPr>
          <w:rFonts w:hint="eastAsia" w:ascii="宋体" w:hAnsi="宋体"/>
          <w:szCs w:val="21"/>
          <w:lang w:eastAsia="zh-CN"/>
        </w:rPr>
        <w:t>测量过程</w:t>
      </w:r>
      <w:r>
        <w:rPr>
          <w:rFonts w:hint="eastAsia" w:ascii="宋体"/>
          <w:bCs/>
          <w:color w:val="000000"/>
          <w:szCs w:val="21"/>
          <w:lang w:val="en-US" w:eastAsia="zh-CN"/>
        </w:rPr>
        <w:t>不确定度评定</w:t>
      </w:r>
      <w:r>
        <w:rPr>
          <w:rFonts w:hint="eastAsia" w:ascii="宋体" w:hAnsi="宋体"/>
          <w:szCs w:val="21"/>
        </w:rPr>
        <w:t>等</w:t>
      </w:r>
      <w:r>
        <w:rPr>
          <w:rFonts w:hint="eastAsia" w:ascii="宋体" w:hAnsi="宋体"/>
          <w:szCs w:val="21"/>
          <w:lang w:val="en-US" w:eastAsia="zh-CN"/>
        </w:rPr>
        <w:t>报告，</w:t>
      </w:r>
      <w:r>
        <w:rPr>
          <w:rFonts w:hint="eastAsia" w:ascii="宋体" w:hAnsi="宋体" w:cs="宋体"/>
          <w:color w:val="000000"/>
          <w:kern w:val="0"/>
          <w:szCs w:val="21"/>
        </w:rPr>
        <w:t>评定流程、评定方法、数据处理及结果报告方式</w:t>
      </w:r>
      <w:r>
        <w:rPr>
          <w:rFonts w:hint="eastAsia" w:ascii="宋体" w:hAnsi="宋体" w:cs="宋体"/>
          <w:color w:val="000000"/>
          <w:kern w:val="0"/>
          <w:szCs w:val="21"/>
          <w:lang w:val="en-US" w:eastAsia="zh-CN"/>
        </w:rPr>
        <w:t>均</w:t>
      </w:r>
      <w:r>
        <w:rPr>
          <w:rFonts w:hint="eastAsia" w:ascii="宋体" w:hAnsi="宋体"/>
          <w:szCs w:val="21"/>
        </w:rPr>
        <w:t>正确。详见附件《不确定度评定报告》</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3现场重点抽查了辛烷值</w:t>
      </w:r>
      <w:r>
        <w:rPr>
          <w:rFonts w:hint="eastAsia" w:ascii="宋体" w:hAnsi="宋体"/>
          <w:szCs w:val="21"/>
          <w:lang w:eastAsia="zh-CN"/>
        </w:rPr>
        <w:t>测量过程</w:t>
      </w:r>
      <w:r>
        <w:rPr>
          <w:rFonts w:hint="eastAsia" w:ascii="宋体" w:hAnsi="宋体"/>
          <w:szCs w:val="21"/>
        </w:rPr>
        <w:t xml:space="preserve"> 测量过程有效性确认，测量过程监视记录和控制图绘制</w:t>
      </w:r>
      <w:r>
        <w:rPr>
          <w:rFonts w:hint="eastAsia" w:ascii="宋体" w:hAnsi="宋体"/>
          <w:szCs w:val="21"/>
          <w:lang w:eastAsia="zh-CN"/>
        </w:rPr>
        <w:t>。</w:t>
      </w:r>
      <w:r>
        <w:rPr>
          <w:rFonts w:hint="eastAsia" w:ascii="宋体" w:hAnsi="宋体" w:cs="宋体"/>
          <w:color w:val="000000"/>
          <w:kern w:val="0"/>
          <w:szCs w:val="21"/>
        </w:rPr>
        <w:t>高控过程的监视方法和记录情况，均采用期间核查等方式</w:t>
      </w:r>
      <w:r>
        <w:rPr>
          <w:rFonts w:hint="eastAsia" w:ascii="宋体" w:hAnsi="宋体" w:cs="宋体"/>
          <w:color w:val="000000"/>
          <w:kern w:val="0"/>
          <w:szCs w:val="21"/>
          <w:lang w:eastAsia="zh-CN"/>
        </w:rPr>
        <w:t>，</w:t>
      </w:r>
      <w:r>
        <w:rPr>
          <w:rFonts w:hint="eastAsia" w:ascii="宋体" w:hAnsi="宋体" w:cs="宋体"/>
          <w:color w:val="000000"/>
          <w:kern w:val="0"/>
          <w:szCs w:val="21"/>
        </w:rPr>
        <w:t>按照规定的核查期限规定，对测量过程受控情况进行</w:t>
      </w:r>
      <w:r>
        <w:rPr>
          <w:rFonts w:hint="eastAsia" w:ascii="宋体" w:hAnsi="宋体" w:cs="宋体"/>
          <w:color w:val="000000"/>
          <w:kern w:val="0"/>
          <w:szCs w:val="21"/>
          <w:lang w:val="en-US" w:eastAsia="zh-CN"/>
        </w:rPr>
        <w:t>持续</w:t>
      </w:r>
      <w:r>
        <w:rPr>
          <w:rFonts w:hint="eastAsia" w:ascii="宋体" w:hAnsi="宋体" w:cs="宋体"/>
          <w:color w:val="000000"/>
          <w:kern w:val="0"/>
          <w:szCs w:val="21"/>
        </w:rPr>
        <w:t>监视，根据监视记录显示的结果，过程均未出现失控情况，</w:t>
      </w:r>
      <w:r>
        <w:rPr>
          <w:rFonts w:hint="eastAsia" w:ascii="宋体" w:hAnsi="宋体"/>
          <w:szCs w:val="21"/>
        </w:rPr>
        <w:t>基本满足标准要求。</w:t>
      </w:r>
      <w:r>
        <w:rPr>
          <w:rFonts w:hint="eastAsia" w:ascii="宋体" w:hAnsi="宋体"/>
          <w:szCs w:val="21"/>
          <w:lang w:val="en-US" w:eastAsia="zh-CN"/>
        </w:rPr>
        <w:t>详</w:t>
      </w:r>
      <w:r>
        <w:rPr>
          <w:rFonts w:hint="eastAsia" w:ascii="宋体" w:hAnsi="宋体"/>
          <w:szCs w:val="21"/>
        </w:rPr>
        <w:t>见附件《测量过程监视统计记录表及控制图》。</w:t>
      </w:r>
    </w:p>
    <w:p>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抽查公司能源管理情况：</w:t>
      </w:r>
    </w:p>
    <w:p>
      <w:pPr>
        <w:spacing w:line="360" w:lineRule="auto"/>
        <w:rPr>
          <w:rFonts w:hint="eastAsia" w:ascii="宋体" w:hAnsi="宋体"/>
          <w:b w:val="0"/>
          <w:bCs/>
          <w:color w:val="000000"/>
          <w:szCs w:val="21"/>
          <w:lang w:val="en-US" w:eastAsia="zh-CN"/>
        </w:rPr>
      </w:pPr>
      <w:r>
        <w:rPr>
          <w:rFonts w:hint="eastAsia" w:ascii="宋体" w:hAnsi="宋体"/>
          <w:szCs w:val="21"/>
        </w:rPr>
        <w:t xml:space="preserve"> 该企业</w:t>
      </w:r>
      <w:r>
        <w:rPr>
          <w:rFonts w:hint="eastAsia" w:ascii="宋体" w:hAnsi="宋体"/>
          <w:szCs w:val="21"/>
          <w:lang w:val="en-US" w:eastAsia="zh-CN"/>
        </w:rPr>
        <w:t>2019年耗能</w:t>
      </w:r>
      <w:r>
        <w:rPr>
          <w:rFonts w:hint="eastAsia" w:ascii="宋体" w:hAnsi="宋体"/>
          <w:szCs w:val="21"/>
        </w:rPr>
        <w:t>为</w:t>
      </w:r>
      <w:r>
        <w:rPr>
          <w:rFonts w:hint="eastAsia"/>
          <w:b w:val="0"/>
          <w:bCs w:val="0"/>
          <w:sz w:val="21"/>
          <w:szCs w:val="21"/>
        </w:rPr>
        <w:t>43.31万吨标准煤</w:t>
      </w:r>
      <w:r>
        <w:rPr>
          <w:rFonts w:hint="eastAsia"/>
          <w:b w:val="0"/>
          <w:bCs w:val="0"/>
          <w:sz w:val="21"/>
          <w:szCs w:val="21"/>
          <w:lang w:eastAsia="zh-CN"/>
        </w:rPr>
        <w:t>，</w:t>
      </w:r>
      <w:r>
        <w:rPr>
          <w:rFonts w:hint="eastAsia"/>
          <w:b w:val="0"/>
          <w:bCs w:val="0"/>
          <w:sz w:val="21"/>
          <w:szCs w:val="21"/>
          <w:lang w:val="en-US" w:eastAsia="zh-CN"/>
        </w:rPr>
        <w:t>是</w:t>
      </w:r>
      <w:r>
        <w:rPr>
          <w:rFonts w:hint="eastAsia" w:ascii="宋体" w:hAnsi="宋体"/>
          <w:szCs w:val="21"/>
        </w:rPr>
        <w:t>重点耗能单位，</w:t>
      </w:r>
      <w:r>
        <w:rPr>
          <w:rFonts w:hint="eastAsia" w:ascii="宋体" w:hAnsi="宋体"/>
          <w:b w:val="0"/>
          <w:bCs/>
          <w:color w:val="000000"/>
          <w:szCs w:val="21"/>
          <w:lang w:val="en-US" w:eastAsia="zh-CN"/>
        </w:rPr>
        <w:t>企业建立了能源管理网络图和能源测量设备明细表，</w:t>
      </w:r>
      <w:r>
        <w:rPr>
          <w:rFonts w:hint="eastAsia" w:ascii="宋体" w:hAnsi="宋体"/>
          <w:b w:val="0"/>
          <w:bCs/>
          <w:color w:val="000000"/>
          <w:szCs w:val="21"/>
        </w:rPr>
        <w:t>能源测量设备配备率满足要求，进出用能单位，应配</w:t>
      </w:r>
      <w:r>
        <w:rPr>
          <w:rFonts w:hint="eastAsia" w:ascii="宋体" w:hAnsi="宋体"/>
          <w:b w:val="0"/>
          <w:bCs/>
          <w:color w:val="000000"/>
          <w:szCs w:val="21"/>
          <w:lang w:val="en-US" w:eastAsia="zh-CN"/>
        </w:rPr>
        <w:t>备</w:t>
      </w:r>
      <w:r>
        <w:rPr>
          <w:rFonts w:hint="eastAsia" w:ascii="宋体" w:hAnsi="宋体"/>
          <w:bCs/>
          <w:color w:val="000000"/>
          <w:szCs w:val="21"/>
          <w:lang w:val="en-US" w:eastAsia="zh-CN"/>
        </w:rPr>
        <w:t>20</w:t>
      </w:r>
      <w:r>
        <w:rPr>
          <w:rFonts w:hint="eastAsia" w:ascii="宋体" w:hAnsi="宋体"/>
          <w:bCs/>
          <w:color w:val="000000"/>
          <w:szCs w:val="21"/>
        </w:rPr>
        <w:t xml:space="preserve"> 台（件），实配</w:t>
      </w:r>
      <w:r>
        <w:rPr>
          <w:rFonts w:hint="eastAsia" w:ascii="宋体" w:hAnsi="宋体"/>
          <w:bCs/>
          <w:color w:val="000000"/>
          <w:szCs w:val="21"/>
          <w:lang w:val="en-US" w:eastAsia="zh-CN"/>
        </w:rPr>
        <w:t>20</w:t>
      </w:r>
      <w:r>
        <w:rPr>
          <w:rFonts w:hint="eastAsia" w:ascii="宋体" w:hAnsi="宋体"/>
          <w:bCs/>
          <w:color w:val="000000"/>
          <w:szCs w:val="21"/>
        </w:rPr>
        <w:t>台（件）；主要次级用能单位应配</w:t>
      </w:r>
      <w:r>
        <w:rPr>
          <w:rFonts w:hint="eastAsia" w:ascii="宋体" w:hAnsi="宋体"/>
          <w:bCs/>
          <w:color w:val="000000"/>
          <w:szCs w:val="21"/>
          <w:lang w:val="en-US" w:eastAsia="zh-CN"/>
        </w:rPr>
        <w:t>630</w:t>
      </w:r>
      <w:r>
        <w:rPr>
          <w:rFonts w:hint="eastAsia" w:ascii="宋体" w:hAnsi="宋体"/>
          <w:bCs/>
          <w:color w:val="000000"/>
          <w:szCs w:val="21"/>
        </w:rPr>
        <w:t xml:space="preserve"> 台（件），实配</w:t>
      </w:r>
      <w:r>
        <w:rPr>
          <w:rFonts w:hint="eastAsia" w:ascii="宋体" w:hAnsi="宋体"/>
          <w:bCs/>
          <w:color w:val="000000"/>
          <w:szCs w:val="21"/>
          <w:lang w:val="en-US" w:eastAsia="zh-CN"/>
        </w:rPr>
        <w:t>596</w:t>
      </w:r>
      <w:r>
        <w:rPr>
          <w:rFonts w:hint="eastAsia" w:ascii="宋体" w:hAnsi="宋体"/>
          <w:bCs/>
          <w:color w:val="000000"/>
          <w:szCs w:val="21"/>
        </w:rPr>
        <w:t xml:space="preserve"> 台（件）；主要用能设备应配 1</w:t>
      </w:r>
      <w:r>
        <w:rPr>
          <w:rFonts w:hint="eastAsia" w:ascii="宋体" w:hAnsi="宋体"/>
          <w:bCs/>
          <w:color w:val="000000"/>
          <w:szCs w:val="21"/>
          <w:lang w:val="en-US" w:eastAsia="zh-CN"/>
        </w:rPr>
        <w:t>6</w:t>
      </w:r>
      <w:r>
        <w:rPr>
          <w:rFonts w:hint="eastAsia" w:ascii="宋体" w:hAnsi="宋体"/>
          <w:bCs/>
          <w:color w:val="000000"/>
          <w:szCs w:val="21"/>
        </w:rPr>
        <w:t>0台（件），实配 1</w:t>
      </w:r>
      <w:r>
        <w:rPr>
          <w:rFonts w:hint="eastAsia" w:ascii="宋体" w:hAnsi="宋体"/>
          <w:bCs/>
          <w:color w:val="000000"/>
          <w:szCs w:val="21"/>
          <w:lang w:val="en-US" w:eastAsia="zh-CN"/>
        </w:rPr>
        <w:t>6</w:t>
      </w:r>
      <w:r>
        <w:rPr>
          <w:rFonts w:hint="eastAsia" w:ascii="宋体" w:hAnsi="宋体"/>
          <w:bCs/>
          <w:color w:val="000000"/>
          <w:szCs w:val="21"/>
        </w:rPr>
        <w:t>0台（件）</w:t>
      </w:r>
      <w:r>
        <w:rPr>
          <w:rFonts w:hint="eastAsia" w:ascii="宋体" w:hAnsi="宋体"/>
          <w:b w:val="0"/>
          <w:bCs/>
          <w:color w:val="auto"/>
          <w:szCs w:val="21"/>
        </w:rPr>
        <w:t>；</w:t>
      </w:r>
      <w:r>
        <w:rPr>
          <w:rFonts w:hint="eastAsia" w:ascii="宋体" w:hAnsi="宋体"/>
          <w:b w:val="0"/>
          <w:bCs/>
          <w:color w:val="auto"/>
          <w:szCs w:val="21"/>
          <w:lang w:val="en-US" w:eastAsia="zh-CN"/>
        </w:rPr>
        <w:t>配备率满足要求</w:t>
      </w:r>
      <w:r>
        <w:rPr>
          <w:rFonts w:hint="eastAsia" w:ascii="宋体" w:hAnsi="宋体"/>
          <w:b w:val="0"/>
          <w:bCs/>
          <w:color w:val="0000FF"/>
          <w:szCs w:val="21"/>
          <w:lang w:val="en-US" w:eastAsia="zh-CN"/>
        </w:rPr>
        <w:t>，</w:t>
      </w:r>
      <w:r>
        <w:rPr>
          <w:rFonts w:hint="eastAsia" w:ascii="宋体" w:hAnsi="宋体"/>
          <w:b w:val="0"/>
          <w:bCs/>
          <w:color w:val="000000"/>
          <w:szCs w:val="21"/>
        </w:rPr>
        <w:t>经现场抽查设备</w:t>
      </w:r>
      <w:r>
        <w:rPr>
          <w:rFonts w:hint="eastAsia" w:ascii="宋体" w:hAnsi="宋体"/>
          <w:b w:val="0"/>
          <w:bCs/>
          <w:color w:val="000000"/>
          <w:szCs w:val="21"/>
          <w:lang w:val="en-US" w:eastAsia="zh-CN"/>
        </w:rPr>
        <w:t>精度等级满足要求，设备</w:t>
      </w:r>
      <w:r>
        <w:rPr>
          <w:rFonts w:hint="eastAsia" w:ascii="宋体" w:hAnsi="宋体"/>
          <w:b w:val="0"/>
          <w:bCs/>
          <w:color w:val="000000"/>
          <w:szCs w:val="21"/>
        </w:rPr>
        <w:t>完好率为</w:t>
      </w:r>
      <w:r>
        <w:rPr>
          <w:rFonts w:hint="eastAsia" w:ascii="宋体" w:hAnsi="宋体"/>
          <w:b w:val="0"/>
          <w:bCs/>
          <w:color w:val="000000"/>
          <w:szCs w:val="21"/>
          <w:lang w:val="en-US" w:eastAsia="zh-CN"/>
        </w:rPr>
        <w:t>99.5</w:t>
      </w:r>
      <w:r>
        <w:rPr>
          <w:rFonts w:hint="eastAsia" w:ascii="宋体" w:hAnsi="宋体"/>
          <w:b w:val="0"/>
          <w:bCs/>
          <w:color w:val="000000"/>
          <w:szCs w:val="21"/>
        </w:rPr>
        <w:t>%。</w:t>
      </w:r>
      <w:r>
        <w:rPr>
          <w:rFonts w:hint="eastAsia" w:ascii="宋体" w:hAnsi="宋体"/>
          <w:b w:val="0"/>
          <w:bCs/>
          <w:color w:val="000000"/>
          <w:szCs w:val="21"/>
          <w:highlight w:val="none"/>
        </w:rPr>
        <w:t xml:space="preserve"> </w:t>
      </w:r>
      <w:r>
        <w:rPr>
          <w:rFonts w:hint="eastAsia" w:ascii="宋体" w:hAnsi="宋体"/>
          <w:b w:val="0"/>
          <w:bCs/>
          <w:color w:val="000000"/>
          <w:szCs w:val="21"/>
        </w:rPr>
        <w:t xml:space="preserve"> 经过对</w:t>
      </w:r>
      <w:r>
        <w:rPr>
          <w:rFonts w:hint="eastAsia" w:ascii="宋体" w:hAnsi="宋体"/>
          <w:b w:val="0"/>
          <w:bCs/>
          <w:color w:val="000000"/>
          <w:szCs w:val="21"/>
          <w:lang w:val="en-US" w:eastAsia="zh-CN"/>
        </w:rPr>
        <w:t>2019年12月</w:t>
      </w:r>
      <w:r>
        <w:rPr>
          <w:rFonts w:hint="eastAsia" w:ascii="宋体" w:hAnsi="宋体"/>
          <w:b w:val="0"/>
          <w:bCs/>
          <w:color w:val="000000"/>
          <w:szCs w:val="21"/>
        </w:rPr>
        <w:t>能源报表的审核确认，能源报表数据、原始记录同步，并进行了损耗分析</w:t>
      </w:r>
      <w:r>
        <w:rPr>
          <w:rFonts w:hint="eastAsia" w:ascii="宋体" w:hAnsi="宋体"/>
          <w:b w:val="0"/>
          <w:bCs/>
          <w:color w:val="000000"/>
          <w:szCs w:val="21"/>
          <w:lang w:eastAsia="zh-CN"/>
        </w:rPr>
        <w:t>。</w:t>
      </w:r>
      <w:r>
        <w:rPr>
          <w:rFonts w:hint="eastAsia" w:ascii="宋体" w:hAnsi="宋体"/>
          <w:b w:val="0"/>
          <w:bCs/>
          <w:color w:val="000000"/>
          <w:szCs w:val="21"/>
        </w:rPr>
        <w:t>对重要的能源数据能定期进行监视核查，能源计量管理满足GB17167要求</w:t>
      </w:r>
      <w:r>
        <w:rPr>
          <w:rFonts w:hint="eastAsia" w:ascii="宋体" w:hAnsi="宋体"/>
          <w:b w:val="0"/>
          <w:bCs/>
          <w:color w:val="000000"/>
          <w:szCs w:val="21"/>
          <w:lang w:eastAsia="zh-CN"/>
        </w:rPr>
        <w:t>。</w:t>
      </w:r>
      <w:r>
        <w:rPr>
          <w:rFonts w:hint="eastAsia" w:ascii="宋体" w:hAnsi="宋体"/>
          <w:b w:val="0"/>
          <w:bCs/>
          <w:color w:val="000000"/>
          <w:szCs w:val="21"/>
          <w:lang w:val="en-US" w:eastAsia="zh-CN"/>
        </w:rPr>
        <w:t>详见附件：《能源审核情况表》。</w:t>
      </w:r>
    </w:p>
    <w:p>
      <w:pPr>
        <w:spacing w:line="360" w:lineRule="auto"/>
        <w:rPr>
          <w:rFonts w:hint="eastAsia" w:ascii="宋体" w:hAnsi="宋体"/>
          <w:b w:val="0"/>
          <w:bCs/>
          <w:color w:val="FF0000"/>
          <w:szCs w:val="21"/>
        </w:rPr>
      </w:pPr>
      <w:r>
        <w:rPr>
          <w:rFonts w:hint="eastAsia" w:ascii="宋体" w:hAnsi="宋体"/>
          <w:b w:val="0"/>
          <w:bCs/>
          <w:color w:val="FF0000"/>
          <w:szCs w:val="21"/>
          <w:lang w:val="en-US" w:eastAsia="zh-CN"/>
        </w:rPr>
        <w:t>6.溯源性检查：</w:t>
      </w:r>
      <w:r>
        <w:rPr>
          <w:rFonts w:hint="eastAsia" w:ascii="宋体" w:hAnsi="宋体"/>
          <w:b w:val="0"/>
          <w:bCs/>
          <w:color w:val="FF0000"/>
          <w:szCs w:val="21"/>
        </w:rPr>
        <w:t>该公司已建立《量值溯源管理控制程序》、《外部供方管理控制程序》，</w:t>
      </w:r>
      <w:r>
        <w:rPr>
          <w:rFonts w:hint="eastAsia" w:ascii="宋体" w:hAnsi="宋体"/>
          <w:b w:val="0"/>
          <w:bCs/>
          <w:color w:val="FF0000"/>
          <w:szCs w:val="21"/>
          <w:lang w:val="en-US" w:eastAsia="zh-CN"/>
        </w:rPr>
        <w:t>企业未建立最高计量标准，所有测量设备送</w:t>
      </w:r>
      <w:r>
        <w:rPr>
          <w:rFonts w:hint="eastAsia" w:ascii="宋体" w:hAnsi="宋体"/>
          <w:b w:val="0"/>
          <w:bCs/>
          <w:color w:val="FF0000"/>
          <w:szCs w:val="21"/>
        </w:rPr>
        <w:t>新疆维吾尔自治区计量测试研究院</w:t>
      </w:r>
      <w:r>
        <w:rPr>
          <w:rFonts w:hint="eastAsia" w:ascii="宋体" w:hAnsi="宋体"/>
          <w:b w:val="0"/>
          <w:bCs/>
          <w:color w:val="FF0000"/>
          <w:szCs w:val="21"/>
          <w:lang w:eastAsia="zh-CN"/>
        </w:rPr>
        <w:t>、</w:t>
      </w:r>
      <w:r>
        <w:rPr>
          <w:rFonts w:hint="eastAsia" w:ascii="宋体" w:hAnsi="宋体"/>
          <w:b w:val="0"/>
          <w:bCs/>
          <w:color w:val="FF0000"/>
          <w:szCs w:val="21"/>
        </w:rPr>
        <w:t>国家石油天然气大流量计量站东营分站</w:t>
      </w:r>
      <w:r>
        <w:rPr>
          <w:rFonts w:hint="eastAsia" w:ascii="宋体" w:hAnsi="宋体"/>
          <w:b w:val="0"/>
          <w:bCs/>
          <w:color w:val="FF0000"/>
          <w:szCs w:val="21"/>
          <w:lang w:val="en-US" w:eastAsia="zh-CN"/>
        </w:rPr>
        <w:t>检定/校准，现场</w:t>
      </w:r>
      <w:r>
        <w:rPr>
          <w:rFonts w:hint="eastAsia" w:ascii="宋体" w:hAnsi="宋体"/>
          <w:b w:val="0"/>
          <w:bCs/>
          <w:color w:val="FF0000"/>
          <w:szCs w:val="21"/>
        </w:rPr>
        <w:t>抽查《监视和测量设备一览表》中5件计量器具的检定、校准证书，其检定、校准结果的量值溯源符合要求。</w:t>
      </w:r>
    </w:p>
    <w:p>
      <w:pPr>
        <w:spacing w:line="360" w:lineRule="auto"/>
        <w:rPr>
          <w:rFonts w:hint="default" w:ascii="宋体" w:hAnsi="宋体"/>
          <w:b w:val="0"/>
          <w:bCs/>
          <w:color w:val="000000"/>
          <w:szCs w:val="21"/>
          <w:lang w:val="en-US" w:eastAsia="zh-CN"/>
        </w:rPr>
      </w:pPr>
    </w:p>
    <w:p>
      <w:pPr>
        <w:spacing w:line="360" w:lineRule="auto"/>
        <w:rPr>
          <w:rFonts w:hint="eastAsia" w:ascii="宋体" w:hAnsi="宋体"/>
          <w:b w:val="0"/>
          <w:bCs/>
          <w:color w:val="000000"/>
          <w:szCs w:val="21"/>
        </w:rPr>
      </w:pPr>
      <w:r>
        <w:rPr>
          <w:rFonts w:hint="eastAsia" w:ascii="宋体" w:hAnsi="宋体"/>
          <w:b w:val="0"/>
          <w:bCs/>
          <w:color w:val="000000"/>
          <w:szCs w:val="21"/>
          <w:lang w:val="en-US" w:eastAsia="zh-CN"/>
        </w:rPr>
        <w:t>7.</w:t>
      </w:r>
      <w:r>
        <w:rPr>
          <w:rFonts w:hint="eastAsia" w:ascii="宋体" w:hAnsi="宋体"/>
          <w:b w:val="0"/>
          <w:bCs/>
          <w:color w:val="000000"/>
          <w:szCs w:val="21"/>
        </w:rPr>
        <w:t>对认证审核时提出的的不符合项的纠正措施情况有表述：</w:t>
      </w:r>
    </w:p>
    <w:p>
      <w:pPr>
        <w:spacing w:line="360" w:lineRule="auto"/>
        <w:rPr>
          <w:rFonts w:hint="eastAsia" w:ascii="宋体" w:hAnsi="宋体"/>
          <w:b w:val="0"/>
          <w:bCs/>
          <w:color w:val="000000"/>
          <w:szCs w:val="21"/>
        </w:rPr>
      </w:pPr>
      <w:r>
        <w:rPr>
          <w:rFonts w:hint="eastAsia" w:ascii="宋体" w:hAnsi="宋体"/>
          <w:b w:val="0"/>
          <w:bCs/>
          <w:color w:val="000000"/>
          <w:szCs w:val="21"/>
        </w:rPr>
        <w:t> </w:t>
      </w:r>
      <w:r>
        <w:rPr>
          <w:rFonts w:hint="eastAsia" w:ascii="宋体" w:hAnsi="宋体"/>
          <w:b w:val="0"/>
          <w:bCs/>
          <w:color w:val="000000"/>
          <w:szCs w:val="21"/>
          <w:lang w:val="en-US" w:eastAsia="zh-CN"/>
        </w:rPr>
        <w:t>2019年初审不符合项一共有三项，企业都进行了整改，同意关闭。</w:t>
      </w:r>
    </w:p>
    <w:p>
      <w:pPr>
        <w:spacing w:line="360" w:lineRule="auto"/>
        <w:rPr>
          <w:rFonts w:hint="eastAsia" w:ascii="宋体" w:hAnsi="宋体"/>
          <w:b w:val="0"/>
          <w:bCs/>
          <w:color w:val="000000"/>
          <w:szCs w:val="21"/>
        </w:rPr>
      </w:pPr>
      <w:r>
        <w:rPr>
          <w:rFonts w:hint="eastAsia" w:ascii="宋体" w:hAnsi="宋体"/>
          <w:b w:val="0"/>
          <w:bCs/>
          <w:color w:val="000000"/>
          <w:szCs w:val="21"/>
          <w:lang w:val="en-US" w:eastAsia="zh-CN"/>
        </w:rPr>
        <w:t>不符合项1：</w:t>
      </w:r>
      <w:r>
        <w:rPr>
          <w:rFonts w:hint="eastAsia" w:ascii="宋体" w:hAnsi="宋体"/>
          <w:b w:val="0"/>
          <w:bCs/>
          <w:color w:val="000000"/>
          <w:szCs w:val="21"/>
        </w:rPr>
        <w:t>测量设备台帐中显示有近120台左右的硫化氢便携式报警器的报警值设定为10ppm,超过了GBZ 2.1-2007规定10mg/m3换算为6.5ppm的规定要求。不符合标准6.3.1测量设备的要求。</w:t>
      </w:r>
    </w:p>
    <w:p>
      <w:pPr>
        <w:spacing w:line="360" w:lineRule="auto"/>
        <w:rPr>
          <w:rFonts w:hint="eastAsia" w:ascii="宋体" w:hAnsi="宋体"/>
          <w:b w:val="0"/>
          <w:bCs/>
          <w:color w:val="000000"/>
          <w:szCs w:val="21"/>
        </w:rPr>
      </w:pPr>
      <w:r>
        <w:rPr>
          <w:rFonts w:hint="eastAsia" w:ascii="宋体" w:hAnsi="宋体"/>
          <w:b w:val="0"/>
          <w:bCs/>
          <w:color w:val="000000"/>
          <w:szCs w:val="21"/>
        </w:rPr>
        <w:t>整改措施：安全环保处对全厂便携式报警器报警设定值进行了修改，统一设置为6ppm。</w:t>
      </w:r>
    </w:p>
    <w:p>
      <w:pPr>
        <w:spacing w:line="360" w:lineRule="auto"/>
        <w:rPr>
          <w:rFonts w:hint="eastAsia" w:ascii="宋体" w:hAnsi="宋体"/>
          <w:b w:val="0"/>
          <w:bCs/>
          <w:color w:val="000000"/>
          <w:szCs w:val="21"/>
        </w:rPr>
      </w:pPr>
      <w:r>
        <w:rPr>
          <w:rFonts w:hint="eastAsia" w:ascii="宋体" w:hAnsi="宋体"/>
          <w:b w:val="0"/>
          <w:bCs/>
          <w:color w:val="000000"/>
          <w:szCs w:val="21"/>
          <w:lang w:val="en-US" w:eastAsia="zh-CN"/>
        </w:rPr>
        <w:t>不符合项2：</w:t>
      </w:r>
      <w:r>
        <w:rPr>
          <w:rFonts w:hint="eastAsia" w:ascii="宋体" w:hAnsi="宋体"/>
          <w:b w:val="0"/>
          <w:bCs/>
          <w:color w:val="000000"/>
          <w:szCs w:val="21"/>
        </w:rPr>
        <w:t>天然气进厂监督用超声波流量计安装位置低于地坪，流量计下部基坑易积水，影响流量计运行，造成流量计偏大；另超声波流量计积算仪更换后无厂家维护，造成计量数据偏差大，未起到天然气进厂监控作用。不符合GB/T19022:2003 7.2.3测量过程实现的要求。</w:t>
      </w:r>
    </w:p>
    <w:p>
      <w:pPr>
        <w:spacing w:line="360" w:lineRule="auto"/>
        <w:rPr>
          <w:rFonts w:hint="eastAsia" w:ascii="宋体" w:hAnsi="宋体"/>
          <w:b w:val="0"/>
          <w:bCs/>
          <w:color w:val="000000"/>
          <w:szCs w:val="21"/>
        </w:rPr>
      </w:pPr>
      <w:r>
        <w:rPr>
          <w:rFonts w:hint="eastAsia" w:ascii="宋体" w:hAnsi="宋体"/>
          <w:b w:val="0"/>
          <w:bCs/>
          <w:color w:val="000000"/>
          <w:szCs w:val="21"/>
        </w:rPr>
        <w:t>整改措施：流量计地面基坑进行混凝土硬化处理，院内边缘处设置了排水沟，排除了积水对流量计计量的影响；流量计算机于2019年11月15日左右更换，目前运行正常。</w:t>
      </w:r>
    </w:p>
    <w:p>
      <w:pPr>
        <w:spacing w:line="360" w:lineRule="auto"/>
        <w:rPr>
          <w:rFonts w:hint="eastAsia" w:ascii="宋体" w:hAnsi="宋体"/>
          <w:b w:val="0"/>
          <w:bCs/>
          <w:color w:val="000000"/>
          <w:szCs w:val="21"/>
        </w:rPr>
      </w:pPr>
      <w:r>
        <w:rPr>
          <w:rFonts w:hint="eastAsia" w:ascii="宋体" w:hAnsi="宋体"/>
          <w:b w:val="0"/>
          <w:bCs/>
          <w:color w:val="000000"/>
          <w:szCs w:val="21"/>
          <w:lang w:val="en-US" w:eastAsia="zh-CN"/>
        </w:rPr>
        <w:t>不符合项3：</w:t>
      </w:r>
      <w:r>
        <w:rPr>
          <w:rFonts w:hint="eastAsia" w:ascii="宋体" w:hAnsi="宋体"/>
          <w:b w:val="0"/>
          <w:bCs/>
          <w:color w:val="000000"/>
          <w:szCs w:val="21"/>
        </w:rPr>
        <w:t>油品储运供团结油库柴油、汽油计量，在北区，配备最新的两台罗斯蒙特质量流量计，精度满足要求，现场看管线配备了副线，易引起阀门关闭不严计量误差，管线弯头较多，影响准确计量。不满足贸易结算要求。不符合GB/T19022:2003 7.2.3测量过程实现的要求。</w:t>
      </w:r>
    </w:p>
    <w:p>
      <w:pPr>
        <w:spacing w:line="360" w:lineRule="auto"/>
        <w:rPr>
          <w:rFonts w:hint="eastAsia" w:ascii="宋体" w:hAnsi="宋体"/>
          <w:b w:val="0"/>
          <w:bCs/>
          <w:color w:val="000000"/>
          <w:szCs w:val="21"/>
        </w:rPr>
      </w:pPr>
      <w:r>
        <w:rPr>
          <w:rFonts w:hint="eastAsia" w:ascii="宋体" w:hAnsi="宋体"/>
          <w:b w:val="0"/>
          <w:bCs/>
          <w:color w:val="000000"/>
          <w:szCs w:val="21"/>
        </w:rPr>
        <w:t>整改措施：汽柴油两条输油管道副线阀门各设置了一块盲板，另外对副线隔断阀安装了铅封，杜绝了管道漏油、窜油风险。</w:t>
      </w:r>
    </w:p>
    <w:p>
      <w:pPr>
        <w:spacing w:line="360" w:lineRule="auto"/>
        <w:rPr>
          <w:rFonts w:hint="eastAsia" w:ascii="宋体" w:hAnsi="宋体"/>
          <w:b w:val="0"/>
          <w:bCs/>
          <w:color w:val="000000"/>
          <w:szCs w:val="21"/>
        </w:rPr>
      </w:pPr>
    </w:p>
    <w:p>
      <w:pPr>
        <w:numPr>
          <w:numId w:val="0"/>
        </w:numPr>
        <w:spacing w:line="360" w:lineRule="auto"/>
        <w:ind w:leftChars="0"/>
        <w:rPr>
          <w:rFonts w:hint="eastAsia" w:ascii="宋体" w:hAnsi="宋体"/>
          <w:b w:val="0"/>
          <w:bCs/>
          <w:color w:val="000000"/>
          <w:szCs w:val="21"/>
        </w:rPr>
      </w:pPr>
      <w:r>
        <w:rPr>
          <w:rFonts w:hint="eastAsia" w:ascii="宋体" w:hAnsi="宋体"/>
          <w:b w:val="0"/>
          <w:bCs/>
          <w:color w:val="000000"/>
          <w:szCs w:val="21"/>
          <w:lang w:val="en-US" w:eastAsia="zh-CN"/>
        </w:rPr>
        <w:t>8.</w:t>
      </w:r>
      <w:r>
        <w:rPr>
          <w:rFonts w:hint="eastAsia" w:ascii="宋体" w:hAnsi="宋体"/>
          <w:b w:val="0"/>
          <w:bCs/>
          <w:color w:val="000000"/>
          <w:szCs w:val="21"/>
        </w:rPr>
        <w:t>对投诉的处理情况：</w:t>
      </w:r>
    </w:p>
    <w:p>
      <w:pPr>
        <w:numPr>
          <w:ilvl w:val="0"/>
          <w:numId w:val="0"/>
        </w:numPr>
        <w:spacing w:line="360" w:lineRule="auto"/>
        <w:ind w:leftChars="0"/>
        <w:rPr>
          <w:rFonts w:hint="default" w:ascii="宋体" w:hAnsi="宋体" w:eastAsiaTheme="minorEastAsia"/>
          <w:b w:val="0"/>
          <w:bCs/>
          <w:color w:val="000000"/>
          <w:szCs w:val="21"/>
          <w:lang w:val="en-US" w:eastAsia="zh-CN"/>
        </w:rPr>
      </w:pPr>
      <w:r>
        <w:rPr>
          <w:rFonts w:hint="eastAsia" w:ascii="宋体" w:hAnsi="宋体"/>
          <w:b w:val="0"/>
          <w:bCs/>
          <w:color w:val="000000"/>
          <w:szCs w:val="21"/>
          <w:lang w:val="en-US" w:eastAsia="zh-CN"/>
        </w:rPr>
        <w:t>企业未有投诉。</w:t>
      </w:r>
    </w:p>
    <w:p>
      <w:pPr>
        <w:numPr>
          <w:numId w:val="0"/>
        </w:numPr>
        <w:spacing w:line="360" w:lineRule="auto"/>
        <w:ind w:leftChars="0"/>
        <w:rPr>
          <w:rFonts w:hint="eastAsia" w:ascii="宋体" w:hAnsi="宋体"/>
          <w:b w:val="0"/>
          <w:bCs/>
          <w:color w:val="000000"/>
          <w:szCs w:val="21"/>
        </w:rPr>
      </w:pPr>
      <w:r>
        <w:rPr>
          <w:rFonts w:hint="eastAsia" w:ascii="宋体" w:hAnsi="宋体"/>
          <w:b w:val="0"/>
          <w:bCs/>
          <w:color w:val="000000"/>
          <w:szCs w:val="21"/>
          <w:lang w:val="en-US" w:eastAsia="zh-CN"/>
        </w:rPr>
        <w:t>9.</w:t>
      </w:r>
      <w:r>
        <w:rPr>
          <w:rFonts w:hint="eastAsia" w:ascii="宋体" w:hAnsi="宋体"/>
          <w:b w:val="0"/>
          <w:bCs/>
          <w:color w:val="000000"/>
          <w:szCs w:val="21"/>
        </w:rPr>
        <w:t>测量管理体系在实现获证客户目标方面的有效性及持续的运作控制情况：</w:t>
      </w:r>
    </w:p>
    <w:p>
      <w:pPr>
        <w:spacing w:line="360" w:lineRule="auto"/>
        <w:rPr>
          <w:rFonts w:hint="eastAsia" w:ascii="宋体" w:hAnsi="宋体"/>
          <w:b w:val="0"/>
          <w:bCs/>
          <w:color w:val="000000"/>
          <w:szCs w:val="21"/>
        </w:rPr>
      </w:pPr>
      <w:r>
        <w:rPr>
          <w:rFonts w:hint="eastAsia" w:ascii="宋体" w:hAnsi="宋体" w:cs="宋体"/>
          <w:color w:val="auto"/>
          <w:kern w:val="0"/>
          <w:szCs w:val="21"/>
        </w:rPr>
        <w:t>企业制定了</w:t>
      </w:r>
      <w:r>
        <w:rPr>
          <w:rFonts w:hint="eastAsia" w:ascii="宋体" w:hAnsi="宋体" w:cs="宋体"/>
          <w:color w:val="auto"/>
          <w:kern w:val="0"/>
          <w:szCs w:val="21"/>
          <w:lang w:val="en-US" w:eastAsia="zh-CN"/>
        </w:rPr>
        <w:t>公司级9</w:t>
      </w:r>
      <w:r>
        <w:rPr>
          <w:rFonts w:hint="eastAsia" w:ascii="宋体" w:hAnsi="宋体" w:cs="宋体"/>
          <w:color w:val="auto"/>
          <w:kern w:val="0"/>
          <w:szCs w:val="21"/>
        </w:rPr>
        <w:t>条测量管理体系质量目标，</w:t>
      </w:r>
      <w:r>
        <w:rPr>
          <w:rFonts w:hint="eastAsia" w:ascii="宋体" w:hAnsi="宋体" w:cs="宋体"/>
          <w:color w:val="auto"/>
          <w:kern w:val="0"/>
          <w:szCs w:val="21"/>
          <w:lang w:val="en-US" w:eastAsia="zh-CN"/>
        </w:rPr>
        <w:t>由主要职能部门向各部门进行了分解，共分解指标41项，并</w:t>
      </w:r>
      <w:r>
        <w:rPr>
          <w:rFonts w:hint="eastAsia" w:ascii="宋体" w:hAnsi="宋体" w:cs="宋体"/>
          <w:color w:val="auto"/>
          <w:kern w:val="0"/>
          <w:szCs w:val="21"/>
        </w:rPr>
        <w:t>进行了测量管理体系相关的质量目标完成情况统计和考核。</w:t>
      </w:r>
    </w:p>
    <w:p>
      <w:pPr>
        <w:numPr>
          <w:numId w:val="0"/>
        </w:numPr>
        <w:spacing w:line="360" w:lineRule="auto"/>
        <w:ind w:leftChars="0"/>
        <w:rPr>
          <w:rFonts w:hint="eastAsia" w:asciiTheme="minorEastAsia" w:hAnsiTheme="minorEastAsia"/>
          <w:bCs/>
          <w:szCs w:val="21"/>
        </w:rPr>
      </w:pPr>
      <w:r>
        <w:rPr>
          <w:rFonts w:hint="eastAsia" w:ascii="宋体" w:hAnsi="宋体"/>
          <w:b w:val="0"/>
          <w:bCs/>
          <w:color w:val="000000"/>
          <w:szCs w:val="21"/>
          <w:lang w:val="en-US" w:eastAsia="zh-CN"/>
        </w:rPr>
        <w:t>10.</w:t>
      </w:r>
      <w:r>
        <w:rPr>
          <w:rFonts w:hint="eastAsia" w:ascii="宋体" w:hAnsi="宋体"/>
          <w:b w:val="0"/>
          <w:bCs/>
          <w:color w:val="000000"/>
          <w:szCs w:val="21"/>
        </w:rPr>
        <w:t>对企业组织任</w:t>
      </w:r>
      <w:r>
        <w:rPr>
          <w:rFonts w:hint="eastAsia" w:asciiTheme="minorEastAsia" w:hAnsiTheme="minorEastAsia"/>
          <w:bCs/>
          <w:szCs w:val="21"/>
        </w:rPr>
        <w:t>何变更的审核</w:t>
      </w:r>
    </w:p>
    <w:p>
      <w:pPr>
        <w:numPr>
          <w:ilvl w:val="0"/>
          <w:numId w:val="0"/>
        </w:numPr>
        <w:spacing w:line="360" w:lineRule="auto"/>
        <w:ind w:leftChars="0"/>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企业营业执照和组织机构未有变更。</w:t>
      </w:r>
    </w:p>
    <w:p>
      <w:pPr>
        <w:widowControl/>
        <w:numPr>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11.</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bookmarkStart w:id="11" w:name="_GoBack"/>
      <w:bookmarkEnd w:id="11"/>
    </w:p>
    <w:p>
      <w:pPr>
        <w:widowControl/>
        <w:numPr>
          <w:ilvl w:val="0"/>
          <w:numId w:val="0"/>
        </w:numPr>
        <w:spacing w:line="276" w:lineRule="auto"/>
        <w:ind w:leftChars="0"/>
        <w:rPr>
          <w:rFonts w:hint="default" w:cs="宋体" w:asciiTheme="minorEastAsia" w:hAnsiTheme="minorEastAsia" w:eastAsiaTheme="minorEastAsia"/>
          <w:bCs/>
          <w:kern w:val="0"/>
          <w:szCs w:val="21"/>
          <w:lang w:val="en-US" w:eastAsia="zh-CN"/>
        </w:rPr>
      </w:pPr>
      <w:r>
        <w:rPr>
          <w:rFonts w:hint="eastAsia" w:cs="宋体" w:asciiTheme="minorEastAsia" w:hAnsiTheme="minorEastAsia"/>
          <w:bCs/>
          <w:kern w:val="0"/>
          <w:szCs w:val="21"/>
          <w:lang w:val="en-US" w:eastAsia="zh-CN"/>
        </w:rPr>
        <w:t>用于企业介绍。</w:t>
      </w:r>
    </w:p>
    <w:p>
      <w:pPr>
        <w:numPr>
          <w:numId w:val="0"/>
        </w:numPr>
        <w:spacing w:line="360" w:lineRule="auto"/>
        <w:ind w:leftChars="0"/>
        <w:rPr>
          <w:rFonts w:hint="eastAsia" w:ascii="宋体" w:hAnsi="宋体"/>
          <w:b w:val="0"/>
          <w:bCs/>
          <w:color w:val="000000"/>
          <w:szCs w:val="21"/>
        </w:rPr>
      </w:pPr>
      <w:r>
        <w:rPr>
          <w:rFonts w:hint="eastAsia" w:ascii="宋体" w:hAnsi="宋体"/>
          <w:b/>
          <w:bCs w:val="0"/>
          <w:color w:val="000000"/>
          <w:szCs w:val="21"/>
          <w:lang w:val="en-US" w:eastAsia="zh-CN"/>
        </w:rPr>
        <w:t>12.</w:t>
      </w:r>
      <w:r>
        <w:rPr>
          <w:rFonts w:hint="eastAsia" w:ascii="宋体" w:hAnsi="宋体"/>
          <w:b/>
          <w:bCs w:val="0"/>
          <w:color w:val="000000"/>
          <w:szCs w:val="21"/>
        </w:rPr>
        <w:t>监督审核结论意见</w:t>
      </w:r>
      <w:r>
        <w:rPr>
          <w:rFonts w:hint="eastAsia" w:ascii="宋体" w:hAnsi="宋体"/>
          <w:b w:val="0"/>
          <w:bCs/>
          <w:color w:val="000000"/>
          <w:szCs w:val="21"/>
        </w:rPr>
        <w:t>(含需要说明的事项):</w:t>
      </w:r>
    </w:p>
    <w:p>
      <w:pPr>
        <w:numPr>
          <w:ilvl w:val="0"/>
          <w:numId w:val="0"/>
        </w:numPr>
        <w:spacing w:line="360" w:lineRule="auto"/>
        <w:ind w:leftChars="0" w:firstLine="210" w:firstLineChars="100"/>
        <w:rPr>
          <w:rFonts w:hint="eastAsia" w:ascii="宋体" w:hAnsi="宋体"/>
          <w:b w:val="0"/>
          <w:bCs/>
          <w:color w:val="000000"/>
          <w:szCs w:val="21"/>
        </w:rPr>
      </w:pPr>
      <w:r>
        <w:rPr>
          <w:rFonts w:hint="default" w:ascii="宋体" w:hAnsi="宋体"/>
          <w:b w:val="0"/>
          <w:bCs/>
          <w:color w:val="000000"/>
          <w:szCs w:val="21"/>
        </w:rPr>
        <w:t>根据20</w:t>
      </w:r>
      <w:r>
        <w:rPr>
          <w:rFonts w:hint="eastAsia" w:ascii="宋体" w:hAnsi="宋体"/>
          <w:b w:val="0"/>
          <w:bCs/>
          <w:color w:val="000000"/>
          <w:szCs w:val="21"/>
          <w:lang w:val="en-US" w:eastAsia="zh-CN"/>
        </w:rPr>
        <w:t>20</w:t>
      </w:r>
      <w:r>
        <w:rPr>
          <w:rFonts w:hint="default" w:ascii="宋体" w:hAnsi="宋体"/>
          <w:b w:val="0"/>
          <w:bCs/>
          <w:color w:val="000000"/>
          <w:szCs w:val="21"/>
        </w:rPr>
        <w:t>年</w:t>
      </w:r>
      <w:r>
        <w:rPr>
          <w:rFonts w:hint="eastAsia" w:ascii="宋体" w:hAnsi="宋体"/>
          <w:b w:val="0"/>
          <w:bCs/>
          <w:color w:val="000000"/>
          <w:szCs w:val="21"/>
          <w:lang w:val="en-US" w:eastAsia="zh-CN"/>
        </w:rPr>
        <w:t>11</w:t>
      </w:r>
      <w:r>
        <w:rPr>
          <w:rFonts w:hint="default" w:ascii="宋体" w:hAnsi="宋体"/>
          <w:b w:val="0"/>
          <w:bCs/>
          <w:color w:val="000000"/>
          <w:szCs w:val="21"/>
        </w:rPr>
        <w:t>月</w:t>
      </w:r>
      <w:r>
        <w:rPr>
          <w:rFonts w:hint="eastAsia" w:ascii="宋体" w:hAnsi="宋体"/>
          <w:b w:val="0"/>
          <w:bCs/>
          <w:color w:val="000000"/>
          <w:szCs w:val="21"/>
          <w:lang w:val="en-US" w:eastAsia="zh-CN"/>
        </w:rPr>
        <w:t>27</w:t>
      </w:r>
      <w:r>
        <w:rPr>
          <w:rFonts w:hint="default" w:ascii="宋体" w:hAnsi="宋体"/>
          <w:b w:val="0"/>
          <w:bCs/>
          <w:color w:val="000000"/>
          <w:szCs w:val="21"/>
        </w:rPr>
        <w:t>日至</w:t>
      </w:r>
      <w:r>
        <w:rPr>
          <w:rFonts w:hint="eastAsia" w:ascii="宋体" w:hAnsi="宋体"/>
          <w:b w:val="0"/>
          <w:bCs/>
          <w:color w:val="000000"/>
          <w:szCs w:val="21"/>
          <w:lang w:val="en-US" w:eastAsia="zh-CN"/>
        </w:rPr>
        <w:t>28</w:t>
      </w:r>
      <w:r>
        <w:rPr>
          <w:rFonts w:hint="default" w:ascii="宋体" w:hAnsi="宋体"/>
          <w:b w:val="0"/>
          <w:bCs/>
          <w:color w:val="000000"/>
          <w:szCs w:val="21"/>
        </w:rPr>
        <w:t>日的现场审核</w:t>
      </w:r>
      <w:r>
        <w:rPr>
          <w:rFonts w:hint="eastAsia" w:ascii="宋体" w:hAnsi="宋体"/>
          <w:b w:val="0"/>
          <w:bCs/>
          <w:color w:val="000000"/>
          <w:szCs w:val="21"/>
          <w:lang w:val="en-US" w:eastAsia="zh-CN"/>
        </w:rPr>
        <w:t>和远程审核</w:t>
      </w:r>
      <w:r>
        <w:rPr>
          <w:rFonts w:hint="default" w:ascii="宋体" w:hAnsi="宋体"/>
          <w:b w:val="0"/>
          <w:bCs/>
          <w:color w:val="000000"/>
          <w:szCs w:val="21"/>
        </w:rPr>
        <w:t>，</w:t>
      </w:r>
      <w:r>
        <w:rPr>
          <w:rFonts w:hint="eastAsia" w:ascii="宋体" w:hAnsi="宋体"/>
          <w:b w:val="0"/>
          <w:bCs/>
          <w:color w:val="000000"/>
          <w:szCs w:val="21"/>
        </w:rPr>
        <w:t>验证了公司在</w:t>
      </w:r>
      <w:r>
        <w:rPr>
          <w:rFonts w:hint="eastAsia" w:ascii="宋体" w:hAnsi="宋体"/>
          <w:b w:val="0"/>
          <w:bCs/>
          <w:color w:val="000000"/>
          <w:szCs w:val="21"/>
          <w:lang w:val="en-US" w:eastAsia="zh-CN"/>
        </w:rPr>
        <w:t>去年一</w:t>
      </w:r>
      <w:r>
        <w:rPr>
          <w:rFonts w:hint="eastAsia" w:ascii="宋体" w:hAnsi="宋体"/>
          <w:b w:val="0"/>
          <w:bCs/>
          <w:color w:val="000000"/>
          <w:szCs w:val="21"/>
        </w:rPr>
        <w:t>年内，</w:t>
      </w:r>
      <w:r>
        <w:rPr>
          <w:rFonts w:hint="eastAsia" w:ascii="宋体" w:hAnsi="宋体"/>
          <w:b w:val="0"/>
          <w:bCs/>
          <w:color w:val="000000"/>
          <w:szCs w:val="21"/>
          <w:lang w:val="en-US" w:eastAsia="zh-CN"/>
        </w:rPr>
        <w:t>测量管理体系运作情况，</w:t>
      </w:r>
      <w:r>
        <w:rPr>
          <w:rFonts w:hint="eastAsia" w:ascii="宋体" w:hAnsi="宋体"/>
          <w:b w:val="0"/>
          <w:bCs/>
          <w:color w:val="000000"/>
          <w:szCs w:val="21"/>
        </w:rPr>
        <w:t>公司领导重视体系运行和管理，体系文件得到有效实施，</w:t>
      </w:r>
      <w:r>
        <w:rPr>
          <w:rFonts w:hint="eastAsia" w:ascii="宋体" w:hAnsi="宋体"/>
          <w:b w:val="0"/>
          <w:bCs/>
          <w:color w:val="000000"/>
          <w:szCs w:val="21"/>
          <w:lang w:val="en-US" w:eastAsia="zh-CN"/>
        </w:rPr>
        <w:t>企业管理逐渐规范，</w:t>
      </w:r>
      <w:r>
        <w:rPr>
          <w:rFonts w:hint="eastAsia" w:ascii="宋体" w:hAnsi="宋体"/>
          <w:b w:val="0"/>
          <w:bCs/>
          <w:color w:val="000000"/>
          <w:szCs w:val="21"/>
        </w:rPr>
        <w:t>关键测量过程</w:t>
      </w:r>
      <w:r>
        <w:rPr>
          <w:rFonts w:hint="eastAsia" w:ascii="宋体" w:hAnsi="宋体"/>
          <w:b w:val="0"/>
          <w:bCs/>
          <w:color w:val="000000"/>
          <w:szCs w:val="21"/>
          <w:lang w:val="en-US" w:eastAsia="zh-CN"/>
        </w:rPr>
        <w:t>持续</w:t>
      </w:r>
      <w:r>
        <w:rPr>
          <w:rFonts w:hint="eastAsia" w:ascii="宋体" w:hAnsi="宋体"/>
          <w:b w:val="0"/>
          <w:bCs/>
          <w:color w:val="000000"/>
          <w:szCs w:val="21"/>
        </w:rPr>
        <w:t>受控、监视方法正确有效，重要测量人员能力受控，测量设备、测量环境、测量软件、测量记录及外部供方管理等各项工作，</w:t>
      </w:r>
      <w:r>
        <w:rPr>
          <w:rFonts w:hint="eastAsia" w:ascii="宋体" w:hAnsi="宋体"/>
          <w:b w:val="0"/>
          <w:bCs/>
          <w:color w:val="000000"/>
          <w:szCs w:val="21"/>
          <w:lang w:val="en-US" w:eastAsia="zh-CN"/>
        </w:rPr>
        <w:t>现场抽样数据满足要求。</w:t>
      </w:r>
      <w:r>
        <w:rPr>
          <w:rFonts w:hint="eastAsia" w:ascii="宋体" w:hAnsi="宋体"/>
          <w:b w:val="0"/>
          <w:bCs/>
          <w:color w:val="000000"/>
          <w:szCs w:val="21"/>
        </w:rPr>
        <w:t>综上所述，审核组认为中国石化塔河炼化有限责任公司测量管理体系，符合GB/T 19022-2003标准要求，对体系运行具有持续的有效性、符合性予以肯定。建议报请国标联合认证有限公司批准通过监督审核。</w:t>
      </w:r>
    </w:p>
    <w:p>
      <w:pPr>
        <w:widowControl/>
        <w:spacing w:line="276" w:lineRule="auto"/>
        <w:ind w:right="945"/>
        <w:jc w:val="right"/>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lang w:eastAsia="zh-CN"/>
        </w:rPr>
        <w:drawing>
          <wp:inline distT="0" distB="0" distL="114300" distR="114300">
            <wp:extent cx="580390" cy="376555"/>
            <wp:effectExtent l="0" t="0" r="0" b="0"/>
            <wp:docPr id="1" name="图片 1" descr="77143367342402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1433673424023946"/>
                    <pic:cNvPicPr>
                      <a:picLocks noChangeAspect="1"/>
                    </pic:cNvPicPr>
                  </pic:nvPicPr>
                  <pic:blipFill>
                    <a:blip r:embed="rId6"/>
                    <a:stretch>
                      <a:fillRect/>
                    </a:stretch>
                  </pic:blipFill>
                  <pic:spPr>
                    <a:xfrm>
                      <a:off x="0" y="0"/>
                      <a:ext cx="580390" cy="376555"/>
                    </a:xfrm>
                    <a:prstGeom prst="rect">
                      <a:avLst/>
                    </a:prstGeom>
                  </pic:spPr>
                </pic:pic>
              </a:graphicData>
            </a:graphic>
          </wp:inline>
        </w:drawing>
      </w:r>
      <w:r>
        <w:rPr>
          <w:rFonts w:hint="eastAsia" w:ascii="宋体" w:hAnsi="宋体" w:eastAsia="宋体" w:cs="宋体"/>
          <w:kern w:val="0"/>
          <w:szCs w:val="28"/>
          <w:lang w:val="en-US" w:eastAsia="zh-CN"/>
        </w:rPr>
        <w:t>2020.12.28</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D96F0"/>
    <w:multiLevelType w:val="singleLevel"/>
    <w:tmpl w:val="67FD96F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00D19"/>
    <w:rsid w:val="143433DE"/>
    <w:rsid w:val="153E31FF"/>
    <w:rsid w:val="32190DE1"/>
    <w:rsid w:val="627B6AA4"/>
    <w:rsid w:val="6B0715C0"/>
    <w:rsid w:val="6B9E5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白鹭</cp:lastModifiedBy>
  <cp:lastPrinted>2017-09-01T06:24:00Z</cp:lastPrinted>
  <dcterms:modified xsi:type="dcterms:W3CDTF">2020-12-22T08:00:45Z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