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rPr>
          <w:rFonts w:hint="default" w:eastAsia="宋体"/>
          <w:b/>
          <w:lang w:val="en-US" w:eastAsia="zh-CN"/>
        </w:rPr>
      </w:pPr>
      <w:r>
        <w:rPr>
          <w:rFonts w:hint="eastAsia"/>
          <w:b/>
          <w:lang w:val="en-US" w:eastAsia="zh-CN"/>
        </w:rPr>
        <w:t xml:space="preserve">                                                    </w:t>
      </w:r>
      <w:r>
        <w:rPr>
          <w:rFonts w:hint="eastAsia" w:ascii="宋体" w:hAnsi="宋体" w:cs="宋体"/>
          <w:color w:val="000000" w:themeColor="text1"/>
          <w:sz w:val="21"/>
          <w:szCs w:val="21"/>
        </w:rPr>
        <w:t>合同编号：</w:t>
      </w:r>
      <w:r>
        <w:rPr>
          <w:rFonts w:hint="eastAsia"/>
          <w:sz w:val="21"/>
          <w:szCs w:val="21"/>
          <w:lang w:eastAsia="zh-CN"/>
        </w:rPr>
        <w:t>0298-2019-QEO</w:t>
      </w: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2050"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r>
        <w:rPr>
          <w:rFonts w:hint="eastAsia" w:ascii="宋体" w:hAnsi="宋体" w:eastAsia="楷体" w:cs="宋体"/>
          <w:sz w:val="28"/>
          <w:szCs w:val="28"/>
          <w:lang w:eastAsia="zh-CN"/>
        </w:rPr>
        <w:t>西藏玉龙铜业股份有限公司</w:t>
      </w:r>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0" w:name="Q勾选15"/>
      <w:r>
        <w:rPr>
          <w:rFonts w:hint="eastAsia" w:ascii="楷体" w:hAnsi="楷体" w:eastAsia="楷体"/>
          <w:b/>
          <w:color w:val="000000"/>
          <w:sz w:val="32"/>
          <w:szCs w:val="32"/>
        </w:rPr>
        <w:t>■</w:t>
      </w:r>
      <w:bookmarkEnd w:id="0"/>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1" w:name="QJ勾选"/>
      <w:r>
        <w:rPr>
          <w:rFonts w:hint="eastAsia" w:ascii="楷体" w:hAnsi="楷体" w:eastAsia="楷体"/>
          <w:b/>
          <w:color w:val="000000"/>
          <w:sz w:val="32"/>
          <w:szCs w:val="32"/>
        </w:rPr>
        <w:t>□</w:t>
      </w:r>
      <w:bookmarkEnd w:id="1"/>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2" w:name="E勾选"/>
      <w:r>
        <w:rPr>
          <w:rFonts w:hint="eastAsia" w:ascii="楷体" w:hAnsi="楷体" w:eastAsia="楷体"/>
          <w:b/>
          <w:color w:val="000000"/>
          <w:sz w:val="32"/>
          <w:szCs w:val="32"/>
        </w:rPr>
        <w:t>■</w:t>
      </w:r>
      <w:bookmarkEnd w:id="2"/>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S勾选"/>
      <w:r>
        <w:rPr>
          <w:rFonts w:hint="eastAsia" w:ascii="楷体" w:hAnsi="楷体" w:eastAsia="楷体"/>
          <w:b/>
          <w:color w:val="000000"/>
          <w:sz w:val="32"/>
          <w:szCs w:val="32"/>
        </w:rPr>
        <w:t>■</w:t>
      </w:r>
      <w:bookmarkEnd w:id="3"/>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hint="eastAsia"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fldChar w:fldCharType="begin"/>
      </w:r>
      <w:r>
        <w:rPr>
          <w:rFonts w:ascii="楷体" w:hAnsi="楷体" w:eastAsia="楷体"/>
          <w:b/>
          <w:color w:val="000000"/>
          <w:sz w:val="36"/>
          <w:szCs w:val="36"/>
        </w:rPr>
        <w:instrText xml:space="preserve"> HYPERLINK "http://www.china-isc.org.cn" </w:instrText>
      </w:r>
      <w:r>
        <w:rPr>
          <w:rFonts w:ascii="楷体" w:hAnsi="楷体" w:eastAsia="楷体"/>
          <w:b/>
          <w:color w:val="000000"/>
          <w:sz w:val="36"/>
          <w:szCs w:val="36"/>
        </w:rPr>
        <w:fldChar w:fldCharType="separate"/>
      </w:r>
      <w:r>
        <w:rPr>
          <w:rStyle w:val="8"/>
          <w:rFonts w:ascii="楷体" w:hAnsi="楷体" w:eastAsia="楷体"/>
          <w:b/>
          <w:sz w:val="36"/>
          <w:szCs w:val="36"/>
        </w:rPr>
        <w:t>www.</w:t>
      </w:r>
      <w:r>
        <w:rPr>
          <w:rStyle w:val="8"/>
          <w:rFonts w:hint="eastAsia" w:ascii="楷体" w:hAnsi="楷体" w:eastAsia="楷体"/>
          <w:b/>
          <w:sz w:val="36"/>
          <w:szCs w:val="36"/>
        </w:rPr>
        <w:t>china-isc.org.cn</w:t>
      </w:r>
      <w:r>
        <w:rPr>
          <w:rFonts w:ascii="楷体" w:hAnsi="楷体" w:eastAsia="楷体"/>
          <w:b/>
          <w:color w:val="000000"/>
          <w:sz w:val="36"/>
          <w:szCs w:val="36"/>
        </w:rPr>
        <w:fldChar w:fldCharType="end"/>
      </w:r>
    </w:p>
    <w:p>
      <w:pPr>
        <w:widowControl/>
        <w:ind w:firstLine="2512" w:firstLineChars="695"/>
        <w:jc w:val="left"/>
        <w:rPr>
          <w:rFonts w:hint="eastAsia" w:ascii="楷体" w:hAnsi="楷体" w:eastAsia="楷体"/>
          <w:b/>
          <w:color w:val="000000"/>
          <w:sz w:val="36"/>
          <w:szCs w:val="36"/>
        </w:rPr>
      </w:pP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5"/>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696"/>
        <w:gridCol w:w="731"/>
        <w:gridCol w:w="1305"/>
        <w:gridCol w:w="3329"/>
        <w:gridCol w:w="446"/>
        <w:gridCol w:w="850"/>
        <w:gridCol w:w="411"/>
        <w:gridCol w:w="12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7"/>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4"/>
          </w:tcPr>
          <w:p>
            <w:pPr>
              <w:rPr>
                <w:b/>
                <w:sz w:val="21"/>
                <w:szCs w:val="21"/>
              </w:rPr>
            </w:pPr>
            <w:r>
              <w:rPr>
                <w:rFonts w:hint="eastAsia"/>
                <w:b/>
                <w:sz w:val="21"/>
                <w:szCs w:val="21"/>
              </w:rPr>
              <w:t>北京市朝阳区北苑路168号1号楼16层1603</w:t>
            </w:r>
          </w:p>
        </w:tc>
        <w:tc>
          <w:tcPr>
            <w:tcW w:w="850" w:type="dxa"/>
          </w:tcPr>
          <w:p>
            <w:pPr>
              <w:rPr>
                <w:b/>
                <w:sz w:val="21"/>
                <w:szCs w:val="21"/>
              </w:rPr>
            </w:pPr>
            <w:r>
              <w:rPr>
                <w:rFonts w:hint="eastAsia"/>
                <w:b/>
                <w:sz w:val="21"/>
                <w:szCs w:val="21"/>
              </w:rPr>
              <w:t>邮编</w:t>
            </w:r>
          </w:p>
        </w:tc>
        <w:tc>
          <w:tcPr>
            <w:tcW w:w="1614" w:type="dxa"/>
            <w:gridSpan w:val="2"/>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7"/>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9"/>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63" w:type="dxa"/>
            <w:vAlign w:val="center"/>
          </w:tcPr>
          <w:p>
            <w:pPr>
              <w:jc w:val="center"/>
              <w:rPr>
                <w:b/>
                <w:sz w:val="21"/>
                <w:szCs w:val="21"/>
              </w:rPr>
            </w:pPr>
            <w:r>
              <w:rPr>
                <w:rFonts w:hint="eastAsia"/>
                <w:b/>
                <w:sz w:val="21"/>
                <w:szCs w:val="21"/>
              </w:rPr>
              <w:t>姓名</w:t>
            </w:r>
          </w:p>
        </w:tc>
        <w:tc>
          <w:tcPr>
            <w:tcW w:w="696" w:type="dxa"/>
            <w:vAlign w:val="center"/>
          </w:tcPr>
          <w:p>
            <w:pPr>
              <w:jc w:val="center"/>
              <w:rPr>
                <w:b/>
                <w:sz w:val="21"/>
                <w:szCs w:val="21"/>
              </w:rPr>
            </w:pPr>
            <w:r>
              <w:rPr>
                <w:rFonts w:hint="eastAsia"/>
                <w:b/>
                <w:sz w:val="21"/>
                <w:szCs w:val="21"/>
              </w:rPr>
              <w:t>性别</w:t>
            </w:r>
          </w:p>
        </w:tc>
        <w:tc>
          <w:tcPr>
            <w:tcW w:w="731" w:type="dxa"/>
            <w:vAlign w:val="center"/>
          </w:tcPr>
          <w:p>
            <w:pPr>
              <w:jc w:val="center"/>
              <w:rPr>
                <w:b/>
                <w:sz w:val="21"/>
                <w:szCs w:val="21"/>
              </w:rPr>
            </w:pPr>
            <w:r>
              <w:rPr>
                <w:rFonts w:hint="eastAsia"/>
                <w:b/>
                <w:sz w:val="21"/>
                <w:szCs w:val="21"/>
              </w:rPr>
              <w:t>职务</w:t>
            </w:r>
          </w:p>
        </w:tc>
        <w:tc>
          <w:tcPr>
            <w:tcW w:w="1305" w:type="dxa"/>
            <w:vAlign w:val="center"/>
          </w:tcPr>
          <w:p>
            <w:pPr>
              <w:jc w:val="center"/>
              <w:rPr>
                <w:b/>
                <w:sz w:val="21"/>
                <w:szCs w:val="21"/>
              </w:rPr>
            </w:pPr>
            <w:r>
              <w:rPr>
                <w:rFonts w:hint="eastAsia"/>
                <w:b/>
                <w:sz w:val="21"/>
                <w:szCs w:val="21"/>
              </w:rPr>
              <w:t>注册级别</w:t>
            </w:r>
          </w:p>
        </w:tc>
        <w:tc>
          <w:tcPr>
            <w:tcW w:w="3329" w:type="dxa"/>
            <w:vAlign w:val="center"/>
          </w:tcPr>
          <w:p>
            <w:pPr>
              <w:jc w:val="center"/>
              <w:rPr>
                <w:b/>
                <w:sz w:val="21"/>
                <w:szCs w:val="21"/>
              </w:rPr>
            </w:pPr>
            <w:r>
              <w:rPr>
                <w:rFonts w:hint="eastAsia"/>
                <w:b/>
                <w:sz w:val="21"/>
                <w:szCs w:val="21"/>
              </w:rPr>
              <w:t>审核员注册号</w:t>
            </w:r>
          </w:p>
        </w:tc>
        <w:tc>
          <w:tcPr>
            <w:tcW w:w="1707" w:type="dxa"/>
            <w:gridSpan w:val="3"/>
            <w:vAlign w:val="center"/>
          </w:tcPr>
          <w:p>
            <w:pPr>
              <w:jc w:val="center"/>
              <w:rPr>
                <w:b/>
                <w:sz w:val="21"/>
                <w:szCs w:val="21"/>
              </w:rPr>
            </w:pPr>
            <w:r>
              <w:rPr>
                <w:rFonts w:hint="eastAsia"/>
                <w:b/>
                <w:sz w:val="21"/>
                <w:szCs w:val="21"/>
              </w:rPr>
              <w:t>专业代码</w:t>
            </w:r>
          </w:p>
        </w:tc>
        <w:tc>
          <w:tcPr>
            <w:tcW w:w="1203" w:type="dxa"/>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63" w:type="dxa"/>
            <w:vAlign w:val="center"/>
          </w:tcPr>
          <w:p>
            <w:pPr>
              <w:jc w:val="center"/>
              <w:rPr>
                <w:b/>
                <w:sz w:val="21"/>
                <w:szCs w:val="21"/>
              </w:rPr>
            </w:pPr>
            <w:r>
              <w:rPr>
                <w:b/>
                <w:sz w:val="21"/>
                <w:szCs w:val="21"/>
              </w:rPr>
              <w:t>周涛</w:t>
            </w:r>
          </w:p>
        </w:tc>
        <w:tc>
          <w:tcPr>
            <w:tcW w:w="696" w:type="dxa"/>
            <w:vAlign w:val="center"/>
          </w:tcPr>
          <w:p>
            <w:pPr>
              <w:jc w:val="center"/>
              <w:rPr>
                <w:b/>
                <w:sz w:val="21"/>
                <w:szCs w:val="21"/>
              </w:rPr>
            </w:pPr>
            <w:r>
              <w:rPr>
                <w:b/>
                <w:sz w:val="21"/>
                <w:szCs w:val="21"/>
              </w:rPr>
              <w:t>男</w:t>
            </w:r>
          </w:p>
        </w:tc>
        <w:tc>
          <w:tcPr>
            <w:tcW w:w="731" w:type="dxa"/>
            <w:vAlign w:val="center"/>
          </w:tcPr>
          <w:p>
            <w:pPr>
              <w:jc w:val="center"/>
              <w:rPr>
                <w:b/>
                <w:sz w:val="21"/>
                <w:szCs w:val="21"/>
              </w:rPr>
            </w:pPr>
            <w:r>
              <w:rPr>
                <w:b/>
                <w:sz w:val="21"/>
                <w:szCs w:val="21"/>
              </w:rPr>
              <w:t>组长</w:t>
            </w:r>
          </w:p>
        </w:tc>
        <w:tc>
          <w:tcPr>
            <w:tcW w:w="1305"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p>
            <w:pPr>
              <w:jc w:val="center"/>
              <w:rPr>
                <w:b/>
                <w:sz w:val="21"/>
                <w:szCs w:val="21"/>
              </w:rPr>
            </w:pPr>
            <w:r>
              <w:rPr>
                <w:b/>
                <w:sz w:val="21"/>
                <w:szCs w:val="21"/>
              </w:rPr>
              <w:t>O:审核员</w:t>
            </w:r>
          </w:p>
        </w:tc>
        <w:tc>
          <w:tcPr>
            <w:tcW w:w="3329" w:type="dxa"/>
            <w:vAlign w:val="center"/>
          </w:tcPr>
          <w:p>
            <w:pPr>
              <w:jc w:val="center"/>
              <w:rPr>
                <w:b/>
                <w:sz w:val="21"/>
                <w:szCs w:val="21"/>
              </w:rPr>
            </w:pPr>
            <w:r>
              <w:rPr>
                <w:b/>
                <w:sz w:val="21"/>
                <w:szCs w:val="21"/>
              </w:rPr>
              <w:t>2019-N1QMS-3072033</w:t>
            </w:r>
          </w:p>
          <w:p>
            <w:pPr>
              <w:jc w:val="center"/>
              <w:rPr>
                <w:b/>
                <w:sz w:val="21"/>
                <w:szCs w:val="21"/>
              </w:rPr>
            </w:pPr>
            <w:r>
              <w:rPr>
                <w:b/>
                <w:sz w:val="21"/>
                <w:szCs w:val="21"/>
              </w:rPr>
              <w:t>2018-N1EMS-2072033</w:t>
            </w:r>
          </w:p>
          <w:p>
            <w:pPr>
              <w:jc w:val="center"/>
              <w:rPr>
                <w:b/>
                <w:sz w:val="21"/>
                <w:szCs w:val="21"/>
              </w:rPr>
            </w:pPr>
            <w:r>
              <w:rPr>
                <w:b/>
                <w:sz w:val="21"/>
                <w:szCs w:val="21"/>
              </w:rPr>
              <w:t>2018-N1OHSMS-2072033</w:t>
            </w:r>
          </w:p>
        </w:tc>
        <w:tc>
          <w:tcPr>
            <w:tcW w:w="1707" w:type="dxa"/>
            <w:gridSpan w:val="3"/>
            <w:vAlign w:val="center"/>
          </w:tcPr>
          <w:p>
            <w:pPr>
              <w:jc w:val="center"/>
              <w:rPr>
                <w:b/>
                <w:sz w:val="21"/>
                <w:szCs w:val="21"/>
              </w:rPr>
            </w:pPr>
            <w:r>
              <w:rPr>
                <w:b/>
                <w:sz w:val="21"/>
                <w:szCs w:val="21"/>
              </w:rPr>
              <w:t>Q:17.04.04</w:t>
            </w:r>
          </w:p>
          <w:p>
            <w:pPr>
              <w:jc w:val="center"/>
              <w:rPr>
                <w:b/>
                <w:sz w:val="21"/>
                <w:szCs w:val="21"/>
              </w:rPr>
            </w:pPr>
            <w:r>
              <w:rPr>
                <w:b/>
                <w:sz w:val="21"/>
                <w:szCs w:val="21"/>
              </w:rPr>
              <w:t>E:17.04.04</w:t>
            </w:r>
          </w:p>
          <w:p>
            <w:pPr>
              <w:jc w:val="center"/>
              <w:rPr>
                <w:b/>
                <w:sz w:val="21"/>
                <w:szCs w:val="21"/>
              </w:rPr>
            </w:pPr>
            <w:r>
              <w:rPr>
                <w:b/>
                <w:sz w:val="21"/>
                <w:szCs w:val="21"/>
              </w:rPr>
              <w:t>O:17.04.04</w:t>
            </w:r>
          </w:p>
        </w:tc>
        <w:tc>
          <w:tcPr>
            <w:tcW w:w="1203" w:type="dxa"/>
            <w:vAlign w:val="center"/>
          </w:tcPr>
          <w:p>
            <w:pPr>
              <w:jc w:val="center"/>
              <w:rPr>
                <w:b/>
                <w:sz w:val="21"/>
                <w:szCs w:val="21"/>
              </w:rPr>
            </w:pPr>
            <w:r>
              <w:rPr>
                <w:b/>
                <w:sz w:val="21"/>
                <w:szCs w:val="21"/>
              </w:rPr>
              <w:t>ISC-72033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63" w:type="dxa"/>
            <w:vAlign w:val="center"/>
          </w:tcPr>
          <w:p>
            <w:pPr>
              <w:jc w:val="center"/>
              <w:rPr>
                <w:b/>
                <w:sz w:val="21"/>
                <w:szCs w:val="21"/>
              </w:rPr>
            </w:pPr>
            <w:r>
              <w:rPr>
                <w:b/>
                <w:sz w:val="21"/>
                <w:szCs w:val="21"/>
              </w:rPr>
              <w:t>张慧琴</w:t>
            </w:r>
          </w:p>
        </w:tc>
        <w:tc>
          <w:tcPr>
            <w:tcW w:w="696" w:type="dxa"/>
            <w:vAlign w:val="center"/>
          </w:tcPr>
          <w:p>
            <w:pPr>
              <w:jc w:val="center"/>
              <w:rPr>
                <w:b/>
                <w:sz w:val="21"/>
                <w:szCs w:val="21"/>
              </w:rPr>
            </w:pPr>
            <w:r>
              <w:rPr>
                <w:b/>
                <w:sz w:val="21"/>
                <w:szCs w:val="21"/>
              </w:rPr>
              <w:t>女</w:t>
            </w:r>
          </w:p>
        </w:tc>
        <w:tc>
          <w:tcPr>
            <w:tcW w:w="731" w:type="dxa"/>
            <w:vAlign w:val="center"/>
          </w:tcPr>
          <w:p>
            <w:pPr>
              <w:jc w:val="center"/>
              <w:rPr>
                <w:b/>
                <w:sz w:val="21"/>
                <w:szCs w:val="21"/>
              </w:rPr>
            </w:pPr>
            <w:r>
              <w:rPr>
                <w:b/>
                <w:sz w:val="21"/>
                <w:szCs w:val="21"/>
              </w:rPr>
              <w:t>组员</w:t>
            </w:r>
          </w:p>
        </w:tc>
        <w:tc>
          <w:tcPr>
            <w:tcW w:w="1305" w:type="dxa"/>
            <w:vAlign w:val="center"/>
          </w:tcPr>
          <w:p>
            <w:pPr>
              <w:jc w:val="center"/>
              <w:rPr>
                <w:b/>
                <w:sz w:val="21"/>
                <w:szCs w:val="21"/>
              </w:rPr>
            </w:pPr>
            <w:r>
              <w:rPr>
                <w:b/>
                <w:sz w:val="21"/>
                <w:szCs w:val="21"/>
              </w:rPr>
              <w:t>Q:专家</w:t>
            </w:r>
          </w:p>
          <w:p>
            <w:pPr>
              <w:jc w:val="center"/>
              <w:rPr>
                <w:b/>
                <w:sz w:val="21"/>
                <w:szCs w:val="21"/>
              </w:rPr>
            </w:pPr>
            <w:r>
              <w:rPr>
                <w:b/>
                <w:sz w:val="21"/>
                <w:szCs w:val="21"/>
              </w:rPr>
              <w:t>E:专家</w:t>
            </w:r>
          </w:p>
          <w:p>
            <w:pPr>
              <w:jc w:val="center"/>
              <w:rPr>
                <w:b/>
                <w:sz w:val="21"/>
                <w:szCs w:val="21"/>
              </w:rPr>
            </w:pPr>
            <w:r>
              <w:rPr>
                <w:b/>
                <w:sz w:val="21"/>
                <w:szCs w:val="21"/>
              </w:rPr>
              <w:t>O:专家</w:t>
            </w:r>
          </w:p>
          <w:p>
            <w:pPr>
              <w:jc w:val="center"/>
              <w:rPr>
                <w:b/>
                <w:sz w:val="21"/>
                <w:szCs w:val="21"/>
              </w:rPr>
            </w:pPr>
          </w:p>
        </w:tc>
        <w:tc>
          <w:tcPr>
            <w:tcW w:w="3329" w:type="dxa"/>
            <w:vAlign w:val="center"/>
          </w:tcPr>
          <w:p>
            <w:pPr>
              <w:jc w:val="center"/>
              <w:rPr>
                <w:b/>
                <w:sz w:val="21"/>
                <w:szCs w:val="21"/>
              </w:rPr>
            </w:pPr>
            <w:r>
              <w:rPr>
                <w:b/>
                <w:sz w:val="21"/>
                <w:szCs w:val="21"/>
              </w:rPr>
              <w:t>ISC-JSZJ-133</w:t>
            </w:r>
          </w:p>
          <w:p>
            <w:pPr>
              <w:jc w:val="center"/>
              <w:rPr>
                <w:b/>
                <w:sz w:val="21"/>
                <w:szCs w:val="21"/>
              </w:rPr>
            </w:pPr>
            <w:r>
              <w:rPr>
                <w:b/>
                <w:sz w:val="21"/>
                <w:szCs w:val="21"/>
              </w:rPr>
              <w:t>ISC-JSZJ-133</w:t>
            </w:r>
          </w:p>
          <w:p>
            <w:pPr>
              <w:jc w:val="center"/>
              <w:rPr>
                <w:b/>
                <w:sz w:val="21"/>
                <w:szCs w:val="21"/>
              </w:rPr>
            </w:pPr>
            <w:r>
              <w:rPr>
                <w:b/>
                <w:sz w:val="21"/>
                <w:szCs w:val="21"/>
              </w:rPr>
              <w:t>ISC-JSZJ-133</w:t>
            </w:r>
          </w:p>
          <w:p>
            <w:pPr>
              <w:jc w:val="center"/>
              <w:rPr>
                <w:b/>
                <w:sz w:val="21"/>
                <w:szCs w:val="21"/>
              </w:rPr>
            </w:pPr>
            <w:r>
              <w:rPr>
                <w:b/>
                <w:sz w:val="21"/>
                <w:szCs w:val="21"/>
              </w:rPr>
              <w:t>西部矿业集团科技发展有限公司</w:t>
            </w:r>
          </w:p>
        </w:tc>
        <w:tc>
          <w:tcPr>
            <w:tcW w:w="1707" w:type="dxa"/>
            <w:gridSpan w:val="3"/>
            <w:vAlign w:val="center"/>
          </w:tcPr>
          <w:p>
            <w:pPr>
              <w:jc w:val="center"/>
              <w:rPr>
                <w:b/>
                <w:sz w:val="21"/>
                <w:szCs w:val="21"/>
              </w:rPr>
            </w:pPr>
            <w:r>
              <w:rPr>
                <w:b/>
                <w:sz w:val="21"/>
                <w:szCs w:val="21"/>
              </w:rPr>
              <w:t>Q:02.06.02</w:t>
            </w:r>
          </w:p>
          <w:p>
            <w:pPr>
              <w:jc w:val="center"/>
              <w:rPr>
                <w:b/>
                <w:sz w:val="21"/>
                <w:szCs w:val="21"/>
              </w:rPr>
            </w:pPr>
            <w:r>
              <w:rPr>
                <w:b/>
                <w:sz w:val="21"/>
                <w:szCs w:val="21"/>
              </w:rPr>
              <w:t>E:02.06.02</w:t>
            </w:r>
          </w:p>
          <w:p>
            <w:pPr>
              <w:jc w:val="center"/>
              <w:rPr>
                <w:b/>
                <w:sz w:val="21"/>
                <w:szCs w:val="21"/>
              </w:rPr>
            </w:pPr>
            <w:r>
              <w:rPr>
                <w:b/>
                <w:sz w:val="21"/>
                <w:szCs w:val="21"/>
              </w:rPr>
              <w:t>O:02.06.02</w:t>
            </w:r>
          </w:p>
        </w:tc>
        <w:tc>
          <w:tcPr>
            <w:tcW w:w="1203" w:type="dxa"/>
            <w:vAlign w:val="center"/>
          </w:tcPr>
          <w:p>
            <w:pPr>
              <w:jc w:val="center"/>
              <w:rPr>
                <w:b/>
                <w:sz w:val="21"/>
                <w:szCs w:val="21"/>
              </w:rPr>
            </w:pPr>
            <w:r>
              <w:rPr>
                <w:b/>
                <w:sz w:val="21"/>
                <w:szCs w:val="21"/>
              </w:rPr>
              <w:t>ISC-JSZJ-133</w:t>
            </w: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4" w:name="审核目的"/>
      <w:r>
        <w:rPr>
          <w:rFonts w:hint="eastAsia"/>
          <w:b/>
          <w:sz w:val="21"/>
          <w:szCs w:val="21"/>
        </w:rPr>
        <w:t>□认证注册：__________</w:t>
      </w:r>
    </w:p>
    <w:p>
      <w:pPr>
        <w:tabs>
          <w:tab w:val="left" w:pos="645"/>
        </w:tabs>
        <w:rPr>
          <w:rFonts w:hint="eastAsia"/>
          <w:b/>
          <w:sz w:val="21"/>
          <w:szCs w:val="21"/>
        </w:rPr>
      </w:pPr>
      <w:r>
        <w:rPr>
          <w:rFonts w:hint="eastAsia"/>
          <w:b/>
          <w:sz w:val="21"/>
          <w:szCs w:val="21"/>
          <w:lang w:eastAsia="zh-CN"/>
        </w:rPr>
        <w:t>☑</w:t>
      </w: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4"/>
    </w:p>
    <w:p>
      <w:pPr>
        <w:tabs>
          <w:tab w:val="left" w:pos="645"/>
        </w:tabs>
        <w:rPr>
          <w:b/>
          <w:sz w:val="16"/>
          <w:szCs w:val="16"/>
        </w:rPr>
      </w:pPr>
      <w:r>
        <w:rPr>
          <w:rFonts w:hint="eastAsia"/>
          <w:b/>
          <w:sz w:val="26"/>
          <w:szCs w:val="26"/>
        </w:rPr>
        <w:t>三、审核准则</w:t>
      </w:r>
    </w:p>
    <w:p>
      <w:pPr>
        <w:tabs>
          <w:tab w:val="left" w:pos="645"/>
        </w:tabs>
        <w:rPr>
          <w:b/>
          <w:sz w:val="21"/>
          <w:szCs w:val="21"/>
        </w:rPr>
      </w:pPr>
      <w:bookmarkStart w:id="5" w:name="Q勾选15Add"/>
      <w:r>
        <w:rPr>
          <w:rFonts w:hint="eastAsia"/>
          <w:b/>
          <w:sz w:val="21"/>
          <w:szCs w:val="21"/>
        </w:rPr>
        <w:t>■</w:t>
      </w:r>
      <w:bookmarkEnd w:id="5"/>
      <w:r>
        <w:rPr>
          <w:rFonts w:hint="eastAsia"/>
          <w:b/>
          <w:sz w:val="21"/>
          <w:szCs w:val="21"/>
        </w:rPr>
        <w:t xml:space="preserve"> GB/T 19001:2016 idt ISO 9001:2015标准不适用条款: </w:t>
      </w:r>
    </w:p>
    <w:p>
      <w:pPr>
        <w:tabs>
          <w:tab w:val="left" w:pos="645"/>
        </w:tabs>
        <w:rPr>
          <w:b/>
          <w:sz w:val="21"/>
          <w:szCs w:val="21"/>
        </w:rPr>
      </w:pPr>
      <w:bookmarkStart w:id="6" w:name="QJ勾选Add"/>
      <w:r>
        <w:rPr>
          <w:rFonts w:hint="eastAsia"/>
          <w:b/>
          <w:sz w:val="21"/>
          <w:szCs w:val="21"/>
        </w:rPr>
        <w:t>□</w:t>
      </w:r>
      <w:bookmarkEnd w:id="6"/>
      <w:r>
        <w:rPr>
          <w:rFonts w:hint="eastAsia"/>
          <w:b/>
          <w:sz w:val="21"/>
          <w:szCs w:val="21"/>
        </w:rPr>
        <w:t xml:space="preserve"> GB/T 50430-2017标准不适用条款: </w:t>
      </w:r>
    </w:p>
    <w:p>
      <w:pPr>
        <w:tabs>
          <w:tab w:val="left" w:pos="645"/>
        </w:tabs>
        <w:rPr>
          <w:b/>
          <w:sz w:val="21"/>
          <w:szCs w:val="21"/>
        </w:rPr>
      </w:pPr>
      <w:bookmarkStart w:id="7" w:name="E勾选Add"/>
      <w:r>
        <w:rPr>
          <w:rFonts w:hint="eastAsia"/>
          <w:b/>
          <w:sz w:val="21"/>
          <w:szCs w:val="21"/>
        </w:rPr>
        <w:t>■</w:t>
      </w:r>
      <w:bookmarkEnd w:id="7"/>
      <w:r>
        <w:rPr>
          <w:rFonts w:hint="eastAsia"/>
          <w:b/>
          <w:sz w:val="21"/>
          <w:szCs w:val="21"/>
        </w:rPr>
        <w:t xml:space="preserve"> GB/T 24001-2016 idt ISO 14001:2015标准</w:t>
      </w:r>
    </w:p>
    <w:p>
      <w:pPr>
        <w:tabs>
          <w:tab w:val="left" w:pos="645"/>
        </w:tabs>
        <w:rPr>
          <w:b/>
          <w:sz w:val="21"/>
          <w:szCs w:val="21"/>
        </w:rPr>
      </w:pPr>
      <w:r>
        <w:rPr>
          <w:rFonts w:hint="eastAsia"/>
          <w:b/>
          <w:sz w:val="21"/>
          <w:szCs w:val="21"/>
        </w:rPr>
        <w:t>□ GB/T 28001-2011 idt OHSMS 18001:2007标准</w:t>
      </w:r>
    </w:p>
    <w:p>
      <w:pPr>
        <w:tabs>
          <w:tab w:val="left" w:pos="645"/>
        </w:tabs>
        <w:rPr>
          <w:b/>
          <w:sz w:val="21"/>
          <w:szCs w:val="21"/>
        </w:rPr>
      </w:pPr>
      <w:bookmarkStart w:id="8" w:name="S勾选Add1"/>
      <w:r>
        <w:rPr>
          <w:rFonts w:hint="eastAsia"/>
          <w:b/>
          <w:sz w:val="21"/>
          <w:szCs w:val="21"/>
        </w:rPr>
        <w:t>■</w:t>
      </w:r>
      <w:bookmarkEnd w:id="8"/>
      <w:r>
        <w:rPr>
          <w:rFonts w:hint="eastAsia"/>
          <w:b/>
          <w:sz w:val="21"/>
          <w:szCs w:val="21"/>
        </w:rPr>
        <w:t xml:space="preserve"> ISO45001：2018标准</w:t>
      </w:r>
    </w:p>
    <w:p>
      <w:pPr>
        <w:tabs>
          <w:tab w:val="left" w:pos="645"/>
        </w:tabs>
        <w:rPr>
          <w:b/>
          <w:sz w:val="21"/>
          <w:szCs w:val="21"/>
        </w:rPr>
      </w:pPr>
      <w:r>
        <w:rPr>
          <w:rFonts w:hint="eastAsia"/>
          <w:b/>
          <w:sz w:val="21"/>
          <w:szCs w:val="21"/>
        </w:rPr>
        <w:t>■受审核方管理体系文件■适用的法律法规■认证合同</w:t>
      </w:r>
    </w:p>
    <w:p>
      <w:pPr>
        <w:tabs>
          <w:tab w:val="left" w:pos="645"/>
        </w:tabs>
        <w:rPr>
          <w:b/>
          <w:sz w:val="16"/>
          <w:szCs w:val="16"/>
        </w:rPr>
      </w:pPr>
      <w:r>
        <w:rPr>
          <w:rFonts w:hint="eastAsia"/>
          <w:b/>
          <w:sz w:val="26"/>
          <w:szCs w:val="26"/>
        </w:rPr>
        <w:t>四、受审核方基本信息</w:t>
      </w:r>
    </w:p>
    <w:tbl>
      <w:tblPr>
        <w:tblStyle w:val="5"/>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212"/>
        <w:gridCol w:w="353"/>
        <w:gridCol w:w="732"/>
        <w:gridCol w:w="1569"/>
        <w:gridCol w:w="1109"/>
        <w:gridCol w:w="1505"/>
        <w:gridCol w:w="104"/>
        <w:gridCol w:w="9"/>
        <w:gridCol w:w="1229"/>
        <w:gridCol w:w="443"/>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606" w:type="dxa"/>
            <w:gridSpan w:val="3"/>
            <w:vAlign w:val="center"/>
          </w:tcPr>
          <w:p>
            <w:pPr>
              <w:spacing w:line="260" w:lineRule="exact"/>
              <w:jc w:val="center"/>
              <w:rPr>
                <w:rFonts w:ascii="宋体"/>
                <w:b/>
                <w:sz w:val="16"/>
                <w:szCs w:val="16"/>
              </w:rPr>
            </w:pPr>
            <w:r>
              <w:rPr>
                <w:rFonts w:hint="eastAsia" w:ascii="宋体" w:hAnsi="宋体"/>
                <w:b/>
                <w:sz w:val="21"/>
              </w:rPr>
              <w:t>受审核方名称</w:t>
            </w:r>
          </w:p>
        </w:tc>
        <w:tc>
          <w:tcPr>
            <w:tcW w:w="5028" w:type="dxa"/>
            <w:gridSpan w:val="6"/>
          </w:tcPr>
          <w:p>
            <w:pPr>
              <w:spacing w:line="260" w:lineRule="exact"/>
              <w:rPr>
                <w:rFonts w:ascii="宋体"/>
                <w:b/>
                <w:color w:val="FF0000"/>
                <w:sz w:val="21"/>
              </w:rPr>
            </w:pPr>
            <w:bookmarkStart w:id="9" w:name="组织名称Add"/>
            <w:r>
              <w:rPr>
                <w:rFonts w:ascii="宋体"/>
                <w:b/>
                <w:color w:val="FF0000"/>
                <w:sz w:val="21"/>
              </w:rPr>
              <w:t>西藏玉龙铜业股份有限公司</w:t>
            </w:r>
            <w:bookmarkEnd w:id="9"/>
          </w:p>
        </w:tc>
        <w:tc>
          <w:tcPr>
            <w:tcW w:w="1672" w:type="dxa"/>
            <w:gridSpan w:val="2"/>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606" w:type="dxa"/>
            <w:gridSpan w:val="3"/>
            <w:vAlign w:val="center"/>
          </w:tcPr>
          <w:p>
            <w:pPr>
              <w:jc w:val="center"/>
              <w:rPr>
                <w:b/>
                <w:sz w:val="16"/>
                <w:szCs w:val="16"/>
              </w:rPr>
            </w:pPr>
            <w:r>
              <w:rPr>
                <w:rFonts w:hint="eastAsia" w:ascii="宋体" w:hAnsi="宋体"/>
                <w:b/>
                <w:sz w:val="21"/>
                <w:szCs w:val="21"/>
              </w:rPr>
              <w:t>注册地址</w:t>
            </w:r>
          </w:p>
        </w:tc>
        <w:tc>
          <w:tcPr>
            <w:tcW w:w="5028" w:type="dxa"/>
            <w:gridSpan w:val="6"/>
          </w:tcPr>
          <w:p>
            <w:pPr>
              <w:rPr>
                <w:rFonts w:ascii="宋体"/>
                <w:b/>
                <w:sz w:val="21"/>
              </w:rPr>
            </w:pPr>
            <w:bookmarkStart w:id="10" w:name="注册地址"/>
            <w:r>
              <w:rPr>
                <w:rFonts w:ascii="宋体"/>
                <w:b/>
                <w:sz w:val="21"/>
              </w:rPr>
              <w:t>西藏昌都市马草坝康乐新村</w:t>
            </w:r>
            <w:bookmarkEnd w:id="10"/>
          </w:p>
        </w:tc>
        <w:tc>
          <w:tcPr>
            <w:tcW w:w="1672" w:type="dxa"/>
            <w:gridSpan w:val="2"/>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1" w:name="注册邮编"/>
            <w:r>
              <w:rPr>
                <w:rFonts w:ascii="宋体"/>
                <w:b/>
                <w:sz w:val="21"/>
              </w:rPr>
              <w:t>854100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606" w:type="dxa"/>
            <w:gridSpan w:val="3"/>
            <w:vAlign w:val="center"/>
          </w:tcPr>
          <w:p>
            <w:pPr>
              <w:jc w:val="center"/>
              <w:rPr>
                <w:rFonts w:ascii="宋体"/>
                <w:b/>
                <w:sz w:val="21"/>
                <w:szCs w:val="21"/>
              </w:rPr>
            </w:pPr>
            <w:r>
              <w:rPr>
                <w:rFonts w:hint="eastAsia" w:ascii="宋体" w:hAnsi="宋体"/>
                <w:b/>
                <w:sz w:val="21"/>
                <w:szCs w:val="21"/>
              </w:rPr>
              <w:t>经营地址</w:t>
            </w:r>
          </w:p>
        </w:tc>
        <w:tc>
          <w:tcPr>
            <w:tcW w:w="5028" w:type="dxa"/>
            <w:gridSpan w:val="6"/>
          </w:tcPr>
          <w:p>
            <w:pPr>
              <w:rPr>
                <w:rFonts w:ascii="宋体"/>
                <w:b/>
                <w:sz w:val="21"/>
              </w:rPr>
            </w:pPr>
            <w:bookmarkStart w:id="12" w:name="办公地址"/>
            <w:r>
              <w:rPr>
                <w:rFonts w:ascii="宋体"/>
                <w:b/>
                <w:sz w:val="21"/>
              </w:rPr>
              <w:t>西藏昌都市江达县青泥洞乡觉拥村</w:t>
            </w:r>
            <w:bookmarkEnd w:id="12"/>
          </w:p>
        </w:tc>
        <w:tc>
          <w:tcPr>
            <w:tcW w:w="1672" w:type="dxa"/>
            <w:gridSpan w:val="2"/>
            <w:vMerge w:val="continue"/>
            <w:vAlign w:val="center"/>
          </w:tcPr>
          <w:p>
            <w:pPr>
              <w:jc w:val="center"/>
              <w:rPr>
                <w:rFonts w:ascii="宋体"/>
                <w:b/>
                <w:sz w:val="21"/>
              </w:rPr>
            </w:pPr>
          </w:p>
        </w:tc>
        <w:tc>
          <w:tcPr>
            <w:tcW w:w="1500" w:type="dxa"/>
          </w:tcPr>
          <w:p>
            <w:pPr>
              <w:rPr>
                <w:rFonts w:ascii="宋体"/>
                <w:b/>
                <w:sz w:val="21"/>
              </w:rPr>
            </w:pPr>
            <w:bookmarkStart w:id="13" w:name="办公邮编"/>
            <w:r>
              <w:rPr>
                <w:rFonts w:ascii="宋体"/>
                <w:b/>
                <w:sz w:val="21"/>
              </w:rPr>
              <w:t>854100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606" w:type="dxa"/>
            <w:gridSpan w:val="3"/>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5028" w:type="dxa"/>
            <w:gridSpan w:val="6"/>
          </w:tcPr>
          <w:p>
            <w:pPr>
              <w:rPr>
                <w:rFonts w:ascii="宋体"/>
                <w:b/>
                <w:sz w:val="21"/>
              </w:rPr>
            </w:pPr>
            <w:bookmarkStart w:id="14" w:name="生产地址Add"/>
            <w:r>
              <w:rPr>
                <w:rFonts w:ascii="宋体"/>
                <w:b/>
                <w:sz w:val="21"/>
              </w:rPr>
              <w:t>西藏昌都市江达县青泥洞乡觉拥村</w:t>
            </w:r>
            <w:bookmarkEnd w:id="14"/>
          </w:p>
        </w:tc>
        <w:tc>
          <w:tcPr>
            <w:tcW w:w="1672" w:type="dxa"/>
            <w:gridSpan w:val="2"/>
            <w:vMerge w:val="continue"/>
            <w:vAlign w:val="center"/>
          </w:tcPr>
          <w:p>
            <w:pPr>
              <w:jc w:val="center"/>
              <w:rPr>
                <w:rFonts w:ascii="宋体"/>
                <w:b/>
                <w:sz w:val="21"/>
              </w:rPr>
            </w:pPr>
          </w:p>
        </w:tc>
        <w:tc>
          <w:tcPr>
            <w:tcW w:w="1500" w:type="dxa"/>
          </w:tcPr>
          <w:p>
            <w:pPr>
              <w:rPr>
                <w:rFonts w:ascii="宋体"/>
                <w:b/>
                <w:sz w:val="21"/>
              </w:rPr>
            </w:pPr>
            <w:bookmarkStart w:id="15" w:name="生产邮编"/>
            <w:r>
              <w:rPr>
                <w:rFonts w:ascii="宋体"/>
                <w:b/>
                <w:sz w:val="21"/>
              </w:rPr>
              <w:t>854100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1606" w:type="dxa"/>
            <w:gridSpan w:val="3"/>
            <w:vAlign w:val="center"/>
          </w:tcPr>
          <w:p>
            <w:pPr>
              <w:jc w:val="center"/>
              <w:rPr>
                <w:rFonts w:ascii="宋体"/>
                <w:b/>
                <w:sz w:val="21"/>
              </w:rPr>
            </w:pPr>
            <w:r>
              <w:rPr>
                <w:rFonts w:hint="eastAsia" w:ascii="宋体" w:hAnsi="宋体"/>
                <w:b/>
                <w:sz w:val="21"/>
              </w:rPr>
              <w:t>联系人</w:t>
            </w:r>
          </w:p>
        </w:tc>
        <w:tc>
          <w:tcPr>
            <w:tcW w:w="2301" w:type="dxa"/>
            <w:gridSpan w:val="2"/>
          </w:tcPr>
          <w:p>
            <w:pPr>
              <w:rPr>
                <w:rFonts w:ascii="宋体"/>
                <w:b/>
                <w:sz w:val="21"/>
              </w:rPr>
            </w:pPr>
            <w:bookmarkStart w:id="16" w:name="联系人"/>
            <w:r>
              <w:rPr>
                <w:rFonts w:ascii="宋体"/>
                <w:b/>
                <w:sz w:val="21"/>
              </w:rPr>
              <w:t>包玉玲</w:t>
            </w:r>
            <w:bookmarkEnd w:id="16"/>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3"/>
            <w:vAlign w:val="center"/>
          </w:tcPr>
          <w:p>
            <w:pPr>
              <w:jc w:val="center"/>
              <w:rPr>
                <w:rFonts w:ascii="宋体"/>
                <w:b/>
                <w:sz w:val="21"/>
              </w:rPr>
            </w:pPr>
            <w:bookmarkStart w:id="17" w:name="联系人电话Add"/>
            <w:r>
              <w:rPr>
                <w:rFonts w:ascii="宋体"/>
                <w:b/>
                <w:sz w:val="21"/>
              </w:rPr>
              <w:t>17794233759</w:t>
            </w:r>
            <w:bookmarkEnd w:id="17"/>
          </w:p>
        </w:tc>
        <w:tc>
          <w:tcPr>
            <w:tcW w:w="1672" w:type="dxa"/>
            <w:gridSpan w:val="2"/>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18" w:name="联系人传真"/>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06" w:type="dxa"/>
            <w:gridSpan w:val="3"/>
            <w:vAlign w:val="center"/>
          </w:tcPr>
          <w:p>
            <w:pPr>
              <w:jc w:val="center"/>
              <w:rPr>
                <w:rFonts w:ascii="宋体" w:hAnsi="宋体"/>
                <w:b/>
                <w:sz w:val="21"/>
                <w:szCs w:val="21"/>
              </w:rPr>
            </w:pPr>
            <w:r>
              <w:rPr>
                <w:rFonts w:hint="eastAsia" w:ascii="宋体" w:hAnsi="宋体"/>
                <w:b/>
                <w:sz w:val="21"/>
                <w:szCs w:val="21"/>
              </w:rPr>
              <w:t>法人代表</w:t>
            </w:r>
          </w:p>
        </w:tc>
        <w:tc>
          <w:tcPr>
            <w:tcW w:w="2301" w:type="dxa"/>
            <w:gridSpan w:val="2"/>
          </w:tcPr>
          <w:p>
            <w:pPr>
              <w:rPr>
                <w:rFonts w:ascii="宋体" w:hAnsi="宋体"/>
                <w:b/>
                <w:sz w:val="21"/>
                <w:szCs w:val="21"/>
              </w:rPr>
            </w:pPr>
            <w:bookmarkStart w:id="19" w:name="法人"/>
            <w:r>
              <w:rPr>
                <w:rFonts w:ascii="宋体" w:hAnsi="宋体"/>
                <w:b/>
                <w:sz w:val="21"/>
                <w:szCs w:val="21"/>
              </w:rPr>
              <w:t>青岩</w:t>
            </w:r>
            <w:bookmarkEnd w:id="19"/>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3"/>
          </w:tcPr>
          <w:p>
            <w:pPr>
              <w:rPr>
                <w:rFonts w:ascii="宋体" w:hAnsi="宋体"/>
                <w:b/>
                <w:sz w:val="21"/>
                <w:szCs w:val="21"/>
              </w:rPr>
            </w:pPr>
          </w:p>
        </w:tc>
        <w:tc>
          <w:tcPr>
            <w:tcW w:w="1672" w:type="dxa"/>
            <w:gridSpan w:val="2"/>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20" w:name="管理者代表"/>
            <w:r>
              <w:rPr>
                <w:rFonts w:ascii="宋体"/>
                <w:b/>
                <w:sz w:val="21"/>
              </w:rPr>
              <w:t>刘显宁</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606" w:type="dxa"/>
            <w:gridSpan w:val="3"/>
            <w:vAlign w:val="center"/>
          </w:tcPr>
          <w:p>
            <w:pPr>
              <w:jc w:val="center"/>
              <w:rPr>
                <w:rFonts w:ascii="宋体" w:hAnsi="宋体"/>
                <w:b/>
                <w:sz w:val="21"/>
                <w:szCs w:val="21"/>
              </w:rPr>
            </w:pPr>
            <w:r>
              <w:rPr>
                <w:rFonts w:hint="eastAsia" w:ascii="宋体" w:hAnsi="宋体"/>
                <w:b/>
                <w:sz w:val="21"/>
                <w:szCs w:val="21"/>
              </w:rPr>
              <w:t>审核日期</w:t>
            </w:r>
          </w:p>
        </w:tc>
        <w:tc>
          <w:tcPr>
            <w:tcW w:w="3410" w:type="dxa"/>
            <w:gridSpan w:val="3"/>
            <w:vAlign w:val="center"/>
          </w:tcPr>
          <w:p>
            <w:pPr>
              <w:rPr>
                <w:rFonts w:ascii="宋体" w:hAnsi="宋体"/>
                <w:b/>
                <w:sz w:val="21"/>
                <w:szCs w:val="21"/>
              </w:rPr>
            </w:pPr>
            <w:bookmarkStart w:id="21" w:name="审核日期"/>
            <w:r>
              <w:rPr>
                <w:rFonts w:ascii="宋体" w:hAnsi="宋体"/>
                <w:b/>
                <w:sz w:val="21"/>
                <w:szCs w:val="21"/>
              </w:rPr>
              <w:t>2020年11月18日 上午至2020年11月20日 上午</w:t>
            </w:r>
            <w:bookmarkEnd w:id="21"/>
          </w:p>
        </w:tc>
        <w:tc>
          <w:tcPr>
            <w:tcW w:w="1609" w:type="dxa"/>
            <w:gridSpan w:val="2"/>
            <w:vAlign w:val="center"/>
          </w:tcPr>
          <w:p>
            <w:pPr>
              <w:rPr>
                <w:rFonts w:ascii="宋体" w:hAnsi="宋体"/>
                <w:b/>
                <w:sz w:val="21"/>
                <w:szCs w:val="21"/>
              </w:rPr>
            </w:pPr>
            <w:r>
              <w:rPr>
                <w:rFonts w:hint="eastAsia" w:ascii="宋体" w:hAnsi="宋体"/>
                <w:b/>
                <w:sz w:val="21"/>
                <w:szCs w:val="21"/>
              </w:rPr>
              <w:t>一体化审核</w:t>
            </w:r>
          </w:p>
        </w:tc>
        <w:tc>
          <w:tcPr>
            <w:tcW w:w="3181" w:type="dxa"/>
            <w:gridSpan w:val="4"/>
            <w:vAlign w:val="center"/>
          </w:tcPr>
          <w:p>
            <w:pPr>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1606" w:type="dxa"/>
            <w:gridSpan w:val="3"/>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8200" w:type="dxa"/>
            <w:gridSpan w:val="9"/>
          </w:tcPr>
          <w:p>
            <w:pPr>
              <w:spacing w:before="163" w:beforeLines="50"/>
              <w:ind w:left="-194" w:leftChars="-81" w:firstLine="210" w:firstLineChars="100"/>
              <w:rPr>
                <w:rFonts w:hint="eastAsia" w:ascii="宋体" w:hAnsi="宋体" w:eastAsia="宋体" w:cs="Times New Roman"/>
                <w:b w:val="0"/>
                <w:bCs/>
                <w:sz w:val="21"/>
                <w:szCs w:val="21"/>
              </w:rPr>
            </w:pPr>
            <w:r>
              <w:rPr>
                <w:rFonts w:hint="eastAsia" w:ascii="宋体" w:hAnsi="宋体" w:eastAsia="宋体" w:cs="Times New Roman"/>
                <w:b w:val="0"/>
                <w:bCs/>
                <w:sz w:val="21"/>
                <w:szCs w:val="21"/>
              </w:rPr>
              <w:t xml:space="preserve">QMS: </w:t>
            </w:r>
            <w:r>
              <w:rPr>
                <w:rFonts w:hint="eastAsia" w:ascii="宋体" w:hAnsi="宋体" w:eastAsia="宋体" w:cs="Times New Roman"/>
                <w:b w:val="0"/>
                <w:bCs/>
                <w:sz w:val="21"/>
                <w:szCs w:val="21"/>
                <w:lang w:eastAsia="zh-CN"/>
              </w:rPr>
              <w:t>铜矿及伴生金属矿（伴生银）、铜矿冶炼（阴极铜）的加工</w:t>
            </w:r>
            <w:r>
              <w:rPr>
                <w:rFonts w:hint="eastAsia" w:ascii="宋体" w:hAnsi="宋体" w:eastAsia="宋体" w:cs="Times New Roman"/>
                <w:b w:val="0"/>
                <w:bCs/>
                <w:sz w:val="21"/>
                <w:szCs w:val="21"/>
              </w:rPr>
              <w:t xml:space="preserve">。  </w:t>
            </w:r>
          </w:p>
          <w:p>
            <w:pPr>
              <w:spacing w:before="163" w:beforeLines="50"/>
              <w:ind w:left="-194" w:leftChars="-81" w:firstLine="210" w:firstLineChars="100"/>
              <w:jc w:val="left"/>
              <w:rPr>
                <w:rFonts w:hint="eastAsia" w:ascii="宋体" w:hAnsi="宋体" w:eastAsia="宋体" w:cs="Times New Roman"/>
                <w:b w:val="0"/>
                <w:bCs/>
                <w:sz w:val="21"/>
                <w:szCs w:val="21"/>
              </w:rPr>
            </w:pPr>
            <w:r>
              <w:rPr>
                <w:rFonts w:hint="eastAsia" w:ascii="宋体" w:hAnsi="宋体" w:eastAsia="宋体" w:cs="Times New Roman"/>
                <w:b w:val="0"/>
                <w:bCs/>
                <w:sz w:val="21"/>
                <w:szCs w:val="21"/>
              </w:rPr>
              <w:t xml:space="preserve">EMS: </w:t>
            </w:r>
            <w:r>
              <w:rPr>
                <w:rFonts w:hint="eastAsia" w:ascii="宋体" w:hAnsi="宋体" w:eastAsia="宋体" w:cs="Times New Roman"/>
                <w:b w:val="0"/>
                <w:bCs/>
                <w:sz w:val="21"/>
                <w:szCs w:val="21"/>
                <w:lang w:eastAsia="zh-CN"/>
              </w:rPr>
              <w:t>铜矿及伴生金属矿（伴生银）、铜矿冶炼（阴极铜）的加工</w:t>
            </w:r>
            <w:r>
              <w:rPr>
                <w:rFonts w:hint="eastAsia" w:ascii="宋体" w:hAnsi="宋体" w:eastAsia="宋体" w:cs="Times New Roman"/>
                <w:b w:val="0"/>
                <w:bCs/>
                <w:sz w:val="21"/>
                <w:szCs w:val="21"/>
              </w:rPr>
              <w:t>及相关的环境管理活动</w:t>
            </w:r>
          </w:p>
          <w:p>
            <w:pPr>
              <w:spacing w:before="163" w:beforeLines="50"/>
              <w:rPr>
                <w:rFonts w:ascii="宋体" w:hAnsi="宋体"/>
                <w:b/>
                <w:sz w:val="21"/>
                <w:szCs w:val="21"/>
              </w:rPr>
            </w:pPr>
            <w:r>
              <w:rPr>
                <w:rFonts w:hint="eastAsia" w:ascii="宋体" w:hAnsi="宋体" w:eastAsia="宋体" w:cs="Times New Roman"/>
                <w:b w:val="0"/>
                <w:bCs/>
                <w:sz w:val="21"/>
                <w:szCs w:val="21"/>
              </w:rPr>
              <w:t xml:space="preserve">OHSMS: </w:t>
            </w:r>
            <w:r>
              <w:rPr>
                <w:rFonts w:hint="eastAsia" w:ascii="宋体" w:hAnsi="宋体" w:eastAsia="宋体" w:cs="Times New Roman"/>
                <w:b w:val="0"/>
                <w:bCs/>
                <w:sz w:val="21"/>
                <w:szCs w:val="21"/>
                <w:lang w:eastAsia="zh-CN"/>
              </w:rPr>
              <w:t>铜矿及伴生金属矿（伴生银）、铜矿冶炼（阴极铜）的加工</w:t>
            </w:r>
            <w:r>
              <w:rPr>
                <w:rFonts w:hint="eastAsia" w:ascii="宋体" w:hAnsi="宋体" w:eastAsia="宋体" w:cs="Times New Roman"/>
                <w:b w:val="0"/>
                <w:bCs/>
                <w:sz w:val="21"/>
                <w:szCs w:val="21"/>
              </w:rPr>
              <w:t>及相关的职业健康安全管理活动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297" w:type="dxa"/>
            <w:gridSpan w:val="3"/>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否</w:t>
            </w:r>
          </w:p>
        </w:tc>
        <w:tc>
          <w:tcPr>
            <w:tcW w:w="7468" w:type="dxa"/>
            <w:gridSpan w:val="8"/>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53"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2654" w:type="dxa"/>
            <w:gridSpan w:val="3"/>
          </w:tcPr>
          <w:p>
            <w:pPr>
              <w:spacing w:line="260" w:lineRule="exact"/>
              <w:rPr>
                <w:rFonts w:ascii="宋体" w:hAnsi="宋体"/>
                <w:b w:val="0"/>
                <w:bCs/>
                <w:sz w:val="21"/>
                <w:szCs w:val="21"/>
              </w:rPr>
            </w:pPr>
            <w:bookmarkStart w:id="22" w:name="专业代码"/>
            <w:r>
              <w:rPr>
                <w:rFonts w:ascii="宋体" w:hAnsi="宋体"/>
                <w:b w:val="0"/>
                <w:bCs/>
                <w:sz w:val="21"/>
                <w:szCs w:val="21"/>
              </w:rPr>
              <w:t>Q：02.06.02;17.04.04</w:t>
            </w:r>
          </w:p>
          <w:p>
            <w:pPr>
              <w:spacing w:line="260" w:lineRule="exact"/>
              <w:rPr>
                <w:rFonts w:ascii="宋体" w:hAnsi="宋体"/>
                <w:b w:val="0"/>
                <w:bCs/>
                <w:sz w:val="21"/>
                <w:szCs w:val="21"/>
              </w:rPr>
            </w:pPr>
            <w:r>
              <w:rPr>
                <w:rFonts w:ascii="宋体" w:hAnsi="宋体"/>
                <w:b w:val="0"/>
                <w:bCs/>
                <w:sz w:val="21"/>
                <w:szCs w:val="21"/>
              </w:rPr>
              <w:t>E：02.06.02;17.04.04</w:t>
            </w:r>
          </w:p>
          <w:p>
            <w:pPr>
              <w:spacing w:line="260" w:lineRule="exact"/>
              <w:rPr>
                <w:rFonts w:ascii="宋体" w:hAnsi="宋体"/>
                <w:b/>
                <w:sz w:val="21"/>
                <w:szCs w:val="21"/>
              </w:rPr>
            </w:pPr>
            <w:r>
              <w:rPr>
                <w:rFonts w:ascii="宋体" w:hAnsi="宋体"/>
                <w:b w:val="0"/>
                <w:bCs/>
                <w:sz w:val="21"/>
                <w:szCs w:val="21"/>
              </w:rPr>
              <w:t>O：02.06.02;17.04.04</w:t>
            </w:r>
            <w:bookmarkEnd w:id="22"/>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505" w:type="dxa"/>
          </w:tcPr>
          <w:p>
            <w:pPr>
              <w:spacing w:line="260" w:lineRule="exact"/>
              <w:rPr>
                <w:rFonts w:ascii="宋体" w:hAnsi="宋体" w:eastAsia="宋体" w:cs="宋体"/>
                <w:sz w:val="24"/>
                <w:szCs w:val="24"/>
              </w:rPr>
            </w:pPr>
            <w:r>
              <w:rPr>
                <w:rFonts w:ascii="宋体" w:hAnsi="宋体" w:eastAsia="宋体" w:cs="宋体"/>
                <w:sz w:val="24"/>
                <w:szCs w:val="24"/>
              </w:rPr>
              <w:br w:type="textWrapping"/>
            </w:r>
            <w:r>
              <w:rPr>
                <w:rFonts w:ascii="宋体" w:hAnsi="宋体" w:eastAsia="宋体" w:cs="宋体"/>
                <w:sz w:val="24"/>
                <w:szCs w:val="24"/>
              </w:rPr>
              <w:t>2022-08-21</w:t>
            </w:r>
          </w:p>
        </w:tc>
        <w:tc>
          <w:tcPr>
            <w:tcW w:w="1342" w:type="dxa"/>
            <w:gridSpan w:val="3"/>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943" w:type="dxa"/>
            <w:gridSpan w:val="2"/>
          </w:tcPr>
          <w:p>
            <w:pPr>
              <w:spacing w:line="260" w:lineRule="exact"/>
              <w:rPr>
                <w:rFonts w:ascii="宋体" w:hAnsi="宋体" w:eastAsia="宋体" w:cs="宋体"/>
                <w:sz w:val="24"/>
                <w:szCs w:val="24"/>
              </w:rPr>
            </w:pPr>
            <w:r>
              <w:rPr>
                <w:rFonts w:ascii="宋体" w:hAnsi="宋体" w:eastAsia="宋体" w:cs="宋体"/>
                <w:sz w:val="24"/>
                <w:szCs w:val="24"/>
              </w:rPr>
              <w:t>2019-07-17 -- 2019-07-24</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hint="eastAsia" w:ascii="宋体" w:hAnsi="宋体" w:eastAsia="宋体"/>
          <w:b/>
          <w:sz w:val="21"/>
          <w:szCs w:val="21"/>
          <w:lang w:eastAsia="zh-CN"/>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r>
        <w:rPr>
          <w:rFonts w:hint="eastAsia" w:ascii="宋体" w:hAnsi="宋体"/>
          <w:b/>
          <w:sz w:val="21"/>
          <w:szCs w:val="21"/>
          <w:lang w:eastAsia="zh-CN"/>
        </w:rPr>
        <w:t>：</w:t>
      </w:r>
      <w:r>
        <w:rPr>
          <w:rFonts w:hint="eastAsia" w:ascii="宋体" w:hAnsi="宋体" w:eastAsia="宋体" w:cs="Times New Roman"/>
          <w:b w:val="0"/>
          <w:bCs/>
          <w:sz w:val="21"/>
          <w:szCs w:val="21"/>
          <w:lang w:eastAsia="zh-CN"/>
        </w:rPr>
        <w:t>铜矿及伴生金属矿（伴生银）、铜矿冶炼（阴极铜）的加工</w:t>
      </w:r>
      <w:r>
        <w:rPr>
          <w:rFonts w:hint="eastAsia" w:ascii="宋体" w:hAnsi="宋体" w:eastAsia="宋体" w:cs="Times New Roman"/>
          <w:b w:val="0"/>
          <w:bCs/>
          <w:sz w:val="21"/>
          <w:szCs w:val="21"/>
        </w:rPr>
        <w:t>。</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2019</w:t>
      </w:r>
      <w:r>
        <w:rPr>
          <w:rFonts w:hint="eastAsia" w:ascii="宋体" w:hAnsi="宋体"/>
          <w:b/>
          <w:sz w:val="21"/>
          <w:szCs w:val="21"/>
        </w:rPr>
        <w:t>年</w:t>
      </w:r>
      <w:r>
        <w:rPr>
          <w:rFonts w:hint="eastAsia" w:ascii="宋体" w:hAnsi="宋体"/>
          <w:b/>
          <w:sz w:val="21"/>
          <w:szCs w:val="21"/>
          <w:lang w:val="en-US" w:eastAsia="zh-CN"/>
        </w:rPr>
        <w:t>7</w:t>
      </w:r>
      <w:r>
        <w:rPr>
          <w:rFonts w:hint="eastAsia" w:ascii="宋体" w:hAnsi="宋体"/>
          <w:b/>
          <w:sz w:val="21"/>
          <w:szCs w:val="21"/>
        </w:rPr>
        <w:t>月</w:t>
      </w:r>
      <w:r>
        <w:rPr>
          <w:rFonts w:hint="eastAsia" w:ascii="宋体" w:hAnsi="宋体"/>
          <w:b/>
          <w:sz w:val="21"/>
          <w:szCs w:val="21"/>
          <w:lang w:val="en-US" w:eastAsia="zh-CN"/>
        </w:rPr>
        <w:t>24</w:t>
      </w:r>
      <w:r>
        <w:rPr>
          <w:rFonts w:hint="eastAsia" w:ascii="宋体" w:hAnsi="宋体"/>
          <w:b/>
          <w:sz w:val="21"/>
          <w:szCs w:val="21"/>
        </w:rPr>
        <w:t>日至</w:t>
      </w:r>
      <w:r>
        <w:rPr>
          <w:rFonts w:hint="eastAsia" w:ascii="宋体" w:hAnsi="宋体"/>
          <w:b/>
          <w:sz w:val="21"/>
          <w:szCs w:val="21"/>
          <w:lang w:val="en-US" w:eastAsia="zh-CN"/>
        </w:rPr>
        <w:t>2020</w:t>
      </w:r>
      <w:r>
        <w:rPr>
          <w:rFonts w:hint="eastAsia" w:ascii="宋体" w:hAnsi="宋体"/>
          <w:b/>
          <w:sz w:val="21"/>
          <w:szCs w:val="21"/>
        </w:rPr>
        <w:t>年</w:t>
      </w:r>
      <w:r>
        <w:rPr>
          <w:rFonts w:hint="eastAsia" w:ascii="宋体" w:hAnsi="宋体"/>
          <w:b/>
          <w:sz w:val="21"/>
          <w:szCs w:val="21"/>
          <w:lang w:val="en-US" w:eastAsia="zh-CN"/>
        </w:rPr>
        <w:t>11</w:t>
      </w:r>
      <w:r>
        <w:rPr>
          <w:rFonts w:hint="eastAsia" w:ascii="宋体" w:hAnsi="宋体"/>
          <w:b/>
          <w:sz w:val="21"/>
          <w:szCs w:val="21"/>
        </w:rPr>
        <w:t>月</w:t>
      </w:r>
      <w:r>
        <w:rPr>
          <w:rFonts w:hint="eastAsia" w:ascii="宋体" w:hAnsi="宋体"/>
          <w:b/>
          <w:sz w:val="21"/>
          <w:szCs w:val="21"/>
          <w:lang w:val="en-US" w:eastAsia="zh-CN"/>
        </w:rPr>
        <w:t>20</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5"/>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keepNext w:val="0"/>
              <w:keepLines w:val="0"/>
              <w:pageBreakBefore w:val="0"/>
              <w:widowControl w:val="0"/>
              <w:tabs>
                <w:tab w:val="left" w:pos="1965"/>
              </w:tabs>
              <w:kinsoku/>
              <w:wordWrap/>
              <w:overflowPunct/>
              <w:topLinePunct w:val="0"/>
              <w:autoSpaceDE w:val="0"/>
              <w:autoSpaceDN w:val="0"/>
              <w:bidi w:val="0"/>
              <w:adjustRightInd w:val="0"/>
              <w:spacing w:line="420" w:lineRule="exact"/>
              <w:ind w:left="0" w:leftChars="0" w:right="0" w:rightChars="0"/>
              <w:textAlignment w:val="auto"/>
              <w:outlineLvl w:val="9"/>
              <w:rPr>
                <w:rFonts w:hint="eastAsia" w:ascii="宋体" w:hAnsi="宋体" w:eastAsia="宋体"/>
                <w:sz w:val="21"/>
                <w:szCs w:val="21"/>
                <w:lang w:eastAsia="zh-CN"/>
              </w:rPr>
            </w:pPr>
            <w:r>
              <w:rPr>
                <w:rFonts w:ascii="宋体" w:hAnsi="宋体"/>
                <w:b/>
                <w:sz w:val="21"/>
                <w:szCs w:val="21"/>
              </w:rPr>
              <w:t>1</w:t>
            </w:r>
            <w:r>
              <w:rPr>
                <w:rFonts w:hint="eastAsia" w:ascii="宋体" w:hAnsi="宋体"/>
                <w:b/>
                <w:sz w:val="21"/>
                <w:szCs w:val="21"/>
              </w:rPr>
              <w:t>、组织及其环境的识别情况</w:t>
            </w:r>
            <w:r>
              <w:rPr>
                <w:rFonts w:hint="eastAsia" w:ascii="宋体" w:hAnsi="宋体"/>
                <w:b/>
                <w:sz w:val="21"/>
                <w:szCs w:val="21"/>
                <w:lang w:eastAsia="zh-CN"/>
              </w:rPr>
              <w:t>：</w:t>
            </w:r>
            <w:r>
              <w:rPr>
                <w:rFonts w:hint="eastAsia" w:ascii="宋体" w:hAnsi="宋体" w:eastAsia="宋体" w:cs="宋体"/>
                <w:kern w:val="0"/>
                <w:sz w:val="21"/>
                <w:szCs w:val="21"/>
                <w:lang w:val="en-US" w:eastAsia="zh-CN"/>
              </w:rPr>
              <w:t>企业名称：</w:t>
            </w:r>
            <w:r>
              <w:rPr>
                <w:rFonts w:hint="eastAsia" w:ascii="宋体" w:hAnsi="宋体"/>
                <w:sz w:val="21"/>
                <w:szCs w:val="21"/>
                <w:lang w:eastAsia="zh-CN"/>
              </w:rPr>
              <w:t>西藏玉龙铜业股份有限公司</w:t>
            </w:r>
          </w:p>
          <w:p>
            <w:pPr>
              <w:keepNext w:val="0"/>
              <w:keepLines w:val="0"/>
              <w:pageBreakBefore w:val="0"/>
              <w:widowControl w:val="0"/>
              <w:tabs>
                <w:tab w:val="left" w:pos="1965"/>
              </w:tabs>
              <w:kinsoku/>
              <w:wordWrap/>
              <w:overflowPunct/>
              <w:topLinePunct w:val="0"/>
              <w:autoSpaceDE w:val="0"/>
              <w:autoSpaceDN w:val="0"/>
              <w:bidi w:val="0"/>
              <w:adjustRightInd w:val="0"/>
              <w:spacing w:line="420" w:lineRule="exact"/>
              <w:ind w:left="0" w:leftChars="0" w:right="0" w:rightChars="0"/>
              <w:textAlignment w:val="auto"/>
              <w:outlineLvl w:val="9"/>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zh-CN"/>
              </w:rPr>
              <w:t>企业注册地址是：</w:t>
            </w:r>
            <w:r>
              <w:rPr>
                <w:rFonts w:hint="eastAsia" w:ascii="宋体" w:hAnsi="宋体"/>
                <w:sz w:val="21"/>
                <w:szCs w:val="21"/>
              </w:rPr>
              <w:t>西藏昌都市马草坝康乐新村</w:t>
            </w:r>
            <w:r>
              <w:rPr>
                <w:rFonts w:hint="eastAsia" w:ascii="宋体" w:hAnsi="宋体" w:eastAsia="宋体" w:cs="宋体"/>
                <w:kern w:val="0"/>
                <w:sz w:val="21"/>
                <w:szCs w:val="21"/>
                <w:lang w:val="zh-CN"/>
              </w:rPr>
              <w:t>；</w:t>
            </w:r>
            <w:r>
              <w:rPr>
                <w:rFonts w:hint="eastAsia" w:ascii="宋体" w:hAnsi="宋体" w:cs="宋体"/>
                <w:kern w:val="0"/>
                <w:sz w:val="21"/>
                <w:szCs w:val="21"/>
                <w:lang w:val="en-US" w:eastAsia="zh-CN"/>
              </w:rPr>
              <w:t xml:space="preserve"> </w:t>
            </w:r>
          </w:p>
          <w:p>
            <w:pPr>
              <w:keepNext w:val="0"/>
              <w:keepLines w:val="0"/>
              <w:pageBreakBefore w:val="0"/>
              <w:widowControl w:val="0"/>
              <w:tabs>
                <w:tab w:val="left" w:pos="1965"/>
              </w:tabs>
              <w:kinsoku/>
              <w:wordWrap/>
              <w:overflowPunct/>
              <w:topLinePunct w:val="0"/>
              <w:autoSpaceDE w:val="0"/>
              <w:autoSpaceDN w:val="0"/>
              <w:bidi w:val="0"/>
              <w:adjustRightInd w:val="0"/>
              <w:spacing w:line="420" w:lineRule="exact"/>
              <w:ind w:left="0" w:leftChars="0" w:right="0" w:rightChars="0"/>
              <w:textAlignment w:val="auto"/>
              <w:outlineLvl w:val="9"/>
              <w:rPr>
                <w:rFonts w:hint="eastAsia" w:ascii="宋体" w:hAnsi="宋体" w:eastAsia="宋体" w:cs="宋体"/>
                <w:color w:val="000000"/>
                <w:kern w:val="0"/>
                <w:sz w:val="21"/>
                <w:szCs w:val="21"/>
                <w:lang w:val="en-US" w:eastAsia="zh-CN"/>
              </w:rPr>
            </w:pPr>
            <w:r>
              <w:rPr>
                <w:rFonts w:hint="eastAsia" w:ascii="宋体" w:hAnsi="宋体" w:cs="宋体"/>
                <w:kern w:val="0"/>
                <w:sz w:val="21"/>
                <w:szCs w:val="21"/>
                <w:lang w:val="zh-CN"/>
              </w:rPr>
              <w:t>办公</w:t>
            </w:r>
            <w:r>
              <w:rPr>
                <w:rFonts w:hint="eastAsia" w:ascii="宋体" w:hAnsi="宋体" w:eastAsia="宋体" w:cs="宋体"/>
                <w:kern w:val="0"/>
                <w:sz w:val="21"/>
                <w:szCs w:val="21"/>
                <w:lang w:val="zh-CN"/>
              </w:rPr>
              <w:t>、</w:t>
            </w:r>
            <w:r>
              <w:rPr>
                <w:rFonts w:hint="eastAsia" w:ascii="宋体" w:hAnsi="宋体" w:cs="宋体"/>
                <w:kern w:val="0"/>
                <w:sz w:val="21"/>
                <w:szCs w:val="21"/>
                <w:lang w:val="en-US" w:eastAsia="zh-CN"/>
              </w:rPr>
              <w:t>生产</w:t>
            </w:r>
            <w:r>
              <w:rPr>
                <w:rFonts w:hint="eastAsia" w:ascii="宋体" w:hAnsi="宋体" w:eastAsia="宋体" w:cs="宋体"/>
                <w:kern w:val="0"/>
                <w:sz w:val="21"/>
                <w:szCs w:val="21"/>
                <w:lang w:val="zh-CN"/>
              </w:rPr>
              <w:t>地址：</w:t>
            </w:r>
            <w:r>
              <w:rPr>
                <w:rFonts w:hint="eastAsia" w:ascii="宋体" w:hAnsi="宋体" w:cs="宋体"/>
                <w:color w:val="000000"/>
                <w:sz w:val="21"/>
                <w:szCs w:val="21"/>
                <w:lang w:eastAsia="zh-CN"/>
              </w:rPr>
              <w:t>西藏昌都市江达县青泥洞乡觉拥村</w:t>
            </w:r>
          </w:p>
          <w:p>
            <w:pPr>
              <w:keepNext w:val="0"/>
              <w:keepLines w:val="0"/>
              <w:pageBreakBefore w:val="0"/>
              <w:widowControl w:val="0"/>
              <w:tabs>
                <w:tab w:val="left" w:pos="1965"/>
              </w:tabs>
              <w:kinsoku/>
              <w:wordWrap/>
              <w:overflowPunct/>
              <w:topLinePunct w:val="0"/>
              <w:autoSpaceDE w:val="0"/>
              <w:autoSpaceDN w:val="0"/>
              <w:bidi w:val="0"/>
              <w:adjustRightInd w:val="0"/>
              <w:spacing w:line="420" w:lineRule="exact"/>
              <w:ind w:left="0" w:leftChars="0" w:right="0" w:rightChars="0"/>
              <w:textAlignment w:val="auto"/>
              <w:outlineLvl w:val="9"/>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法人：</w:t>
            </w:r>
            <w:r>
              <w:rPr>
                <w:rFonts w:hint="eastAsia" w:ascii="宋体" w:hAnsi="宋体"/>
                <w:sz w:val="21"/>
                <w:szCs w:val="21"/>
                <w:lang w:eastAsia="zh-CN"/>
              </w:rPr>
              <w:t>青岩</w:t>
            </w:r>
            <w:r>
              <w:rPr>
                <w:rFonts w:hint="eastAsia" w:ascii="宋体" w:hAnsi="宋体" w:eastAsia="宋体" w:cs="宋体"/>
                <w:kern w:val="0"/>
                <w:sz w:val="21"/>
                <w:szCs w:val="21"/>
                <w:lang w:val="zh-CN"/>
              </w:rPr>
              <w:t>。</w:t>
            </w:r>
          </w:p>
          <w:p>
            <w:pPr>
              <w:keepNext w:val="0"/>
              <w:keepLines w:val="0"/>
              <w:pageBreakBefore w:val="0"/>
              <w:widowControl w:val="0"/>
              <w:tabs>
                <w:tab w:val="left" w:pos="1965"/>
              </w:tabs>
              <w:kinsoku/>
              <w:wordWrap/>
              <w:overflowPunct/>
              <w:topLinePunct w:val="0"/>
              <w:autoSpaceDE w:val="0"/>
              <w:autoSpaceDN w:val="0"/>
              <w:bidi w:val="0"/>
              <w:adjustRightInd w:val="0"/>
              <w:spacing w:line="420" w:lineRule="exact"/>
              <w:ind w:left="0" w:leftChars="0" w:right="0" w:rightChars="0"/>
              <w:textAlignment w:val="auto"/>
              <w:outlineLvl w:val="9"/>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总经理：</w:t>
            </w:r>
            <w:r>
              <w:rPr>
                <w:rFonts w:hint="eastAsia" w:ascii="宋体" w:hAnsi="宋体" w:cs="宋体"/>
                <w:kern w:val="0"/>
                <w:sz w:val="21"/>
                <w:szCs w:val="21"/>
                <w:lang w:val="en-US" w:eastAsia="zh-CN"/>
              </w:rPr>
              <w:t>刘显宁</w:t>
            </w:r>
          </w:p>
          <w:p>
            <w:pPr>
              <w:keepNext w:val="0"/>
              <w:keepLines w:val="0"/>
              <w:pageBreakBefore w:val="0"/>
              <w:widowControl w:val="0"/>
              <w:tabs>
                <w:tab w:val="left" w:pos="1965"/>
              </w:tabs>
              <w:kinsoku/>
              <w:wordWrap/>
              <w:overflowPunct/>
              <w:topLinePunct w:val="0"/>
              <w:autoSpaceDE w:val="0"/>
              <w:autoSpaceDN w:val="0"/>
              <w:bidi w:val="0"/>
              <w:adjustRightInd w:val="0"/>
              <w:spacing w:line="420" w:lineRule="exact"/>
              <w:ind w:left="0" w:leftChars="0" w:right="0" w:rightChars="0"/>
              <w:textAlignment w:val="auto"/>
              <w:outlineLvl w:val="9"/>
              <w:rPr>
                <w:rFonts w:hint="eastAsia" w:ascii="宋体" w:hAnsi="宋体" w:cs="宋体"/>
                <w:kern w:val="0"/>
                <w:sz w:val="21"/>
                <w:szCs w:val="21"/>
                <w:lang w:val="en-US" w:eastAsia="zh-CN"/>
              </w:rPr>
            </w:pPr>
            <w:r>
              <w:rPr>
                <w:rFonts w:hint="eastAsia" w:ascii="宋体" w:hAnsi="宋体" w:eastAsia="宋体" w:cs="宋体"/>
                <w:kern w:val="0"/>
                <w:sz w:val="21"/>
                <w:szCs w:val="21"/>
                <w:lang w:val="zh-CN"/>
              </w:rPr>
              <w:t>管理者代表：</w:t>
            </w:r>
            <w:r>
              <w:rPr>
                <w:rFonts w:hint="eastAsia" w:ascii="宋体" w:hAnsi="宋体" w:cs="宋体"/>
                <w:kern w:val="0"/>
                <w:sz w:val="21"/>
                <w:szCs w:val="21"/>
                <w:lang w:val="en-US" w:eastAsia="zh-CN"/>
              </w:rPr>
              <w:t>刘显宁</w:t>
            </w:r>
          </w:p>
          <w:p>
            <w:pPr>
              <w:keepNext w:val="0"/>
              <w:keepLines w:val="0"/>
              <w:pageBreakBefore w:val="0"/>
              <w:widowControl w:val="0"/>
              <w:tabs>
                <w:tab w:val="left" w:pos="1965"/>
              </w:tabs>
              <w:kinsoku/>
              <w:wordWrap/>
              <w:overflowPunct/>
              <w:topLinePunct w:val="0"/>
              <w:autoSpaceDE w:val="0"/>
              <w:autoSpaceDN w:val="0"/>
              <w:bidi w:val="0"/>
              <w:adjustRightInd w:val="0"/>
              <w:spacing w:line="420" w:lineRule="exact"/>
              <w:ind w:left="0" w:leftChars="0" w:right="0" w:rightChars="0"/>
              <w:textAlignment w:val="auto"/>
              <w:outlineLvl w:val="9"/>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提供了营业执照</w:t>
            </w:r>
            <w:r>
              <w:rPr>
                <w:rFonts w:hint="eastAsia" w:ascii="宋体" w:hAnsi="宋体" w:eastAsia="宋体" w:cs="宋体"/>
                <w:kern w:val="0"/>
                <w:sz w:val="21"/>
                <w:szCs w:val="21"/>
                <w:lang w:val="en-US" w:eastAsia="zh-CN"/>
              </w:rPr>
              <w:t>副本</w:t>
            </w:r>
            <w:r>
              <w:rPr>
                <w:rFonts w:hint="eastAsia" w:ascii="宋体" w:hAnsi="宋体" w:eastAsia="宋体" w:cs="宋体"/>
                <w:kern w:val="0"/>
                <w:sz w:val="21"/>
                <w:szCs w:val="21"/>
                <w:lang w:val="zh-CN"/>
              </w:rPr>
              <w:t>，</w:t>
            </w:r>
            <w:r>
              <w:rPr>
                <w:rFonts w:hint="eastAsia" w:ascii="宋体" w:hAnsi="宋体" w:eastAsia="宋体" w:cs="宋体"/>
                <w:kern w:val="0"/>
                <w:sz w:val="21"/>
                <w:szCs w:val="21"/>
                <w:lang w:val="en-US" w:eastAsia="zh-CN"/>
              </w:rPr>
              <w:t>符合要求，</w:t>
            </w:r>
            <w:r>
              <w:rPr>
                <w:rFonts w:hint="eastAsia" w:ascii="宋体" w:hAnsi="宋体" w:cs="宋体"/>
                <w:kern w:val="0"/>
                <w:sz w:val="21"/>
                <w:szCs w:val="21"/>
                <w:lang w:val="en-US" w:eastAsia="zh-CN"/>
              </w:rPr>
              <w:t>详请见附件</w:t>
            </w:r>
            <w:r>
              <w:rPr>
                <w:rFonts w:hint="eastAsia" w:ascii="宋体" w:hAnsi="宋体" w:eastAsia="宋体" w:cs="宋体"/>
                <w:kern w:val="0"/>
                <w:sz w:val="21"/>
                <w:szCs w:val="21"/>
                <w:lang w:val="zh-CN"/>
              </w:rPr>
              <w:t>。</w:t>
            </w:r>
          </w:p>
          <w:p>
            <w:pPr>
              <w:keepNext w:val="0"/>
              <w:keepLines w:val="0"/>
              <w:pageBreakBefore w:val="0"/>
              <w:widowControl w:val="0"/>
              <w:tabs>
                <w:tab w:val="left" w:pos="1965"/>
              </w:tabs>
              <w:kinsoku/>
              <w:wordWrap/>
              <w:overflowPunct/>
              <w:topLinePunct w:val="0"/>
              <w:autoSpaceDE w:val="0"/>
              <w:autoSpaceDN w:val="0"/>
              <w:bidi w:val="0"/>
              <w:adjustRightInd w:val="0"/>
              <w:spacing w:line="420" w:lineRule="exact"/>
              <w:ind w:left="0" w:leftChars="0" w:right="0" w:rightChars="0"/>
              <w:textAlignment w:val="auto"/>
              <w:outlineLvl w:val="9"/>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职业健</w:t>
            </w:r>
            <w:r>
              <w:rPr>
                <w:rFonts w:hint="eastAsia" w:ascii="宋体" w:hAnsi="宋体" w:eastAsia="宋体" w:cs="宋体"/>
                <w:kern w:val="0"/>
                <w:sz w:val="21"/>
                <w:szCs w:val="21"/>
                <w:lang w:val="en-US" w:eastAsia="zh-CN"/>
              </w:rPr>
              <w:t>康安全代表：</w:t>
            </w:r>
            <w:r>
              <w:rPr>
                <w:rFonts w:hint="eastAsia" w:ascii="宋体" w:hAnsi="宋体" w:eastAsia="宋体" w:cs="宋体"/>
                <w:kern w:val="0"/>
                <w:sz w:val="21"/>
                <w:szCs w:val="21"/>
                <w:lang w:val="zh-CN" w:eastAsia="zh-CN"/>
              </w:rPr>
              <w:t>李虎成</w:t>
            </w:r>
            <w:r>
              <w:rPr>
                <w:rFonts w:hint="eastAsia" w:ascii="宋体" w:hAnsi="宋体" w:eastAsia="宋体" w:cs="宋体"/>
                <w:kern w:val="0"/>
                <w:sz w:val="21"/>
                <w:szCs w:val="21"/>
                <w:lang w:val="en-US" w:eastAsia="zh-CN"/>
              </w:rPr>
              <w:t>。</w:t>
            </w:r>
          </w:p>
          <w:p>
            <w:pPr>
              <w:keepNext w:val="0"/>
              <w:keepLines w:val="0"/>
              <w:pageBreakBefore w:val="0"/>
              <w:widowControl w:val="0"/>
              <w:tabs>
                <w:tab w:val="left" w:pos="1965"/>
              </w:tabs>
              <w:kinsoku/>
              <w:wordWrap/>
              <w:overflowPunct/>
              <w:topLinePunct w:val="0"/>
              <w:autoSpaceDE w:val="0"/>
              <w:autoSpaceDN w:val="0"/>
              <w:bidi w:val="0"/>
              <w:adjustRightInd w:val="0"/>
              <w:spacing w:line="420" w:lineRule="exact"/>
              <w:ind w:left="0" w:leftChars="0" w:right="0" w:rightChars="0"/>
              <w:textAlignment w:val="auto"/>
              <w:outlineLvl w:val="9"/>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zh-CN"/>
              </w:rPr>
              <w:t>按照国标、</w:t>
            </w:r>
            <w:r>
              <w:rPr>
                <w:rFonts w:hint="eastAsia" w:ascii="宋体" w:hAnsi="宋体" w:eastAsia="宋体" w:cs="宋体"/>
                <w:kern w:val="0"/>
                <w:sz w:val="21"/>
                <w:szCs w:val="21"/>
                <w:lang w:val="en-US" w:eastAsia="zh-CN"/>
              </w:rPr>
              <w:t>行标</w:t>
            </w:r>
            <w:r>
              <w:rPr>
                <w:rFonts w:hint="eastAsia" w:ascii="宋体" w:hAnsi="宋体" w:eastAsia="宋体" w:cs="宋体"/>
                <w:kern w:val="0"/>
                <w:sz w:val="21"/>
                <w:szCs w:val="21"/>
                <w:lang w:val="zh-CN"/>
              </w:rPr>
              <w:t>和顾客要求</w:t>
            </w:r>
            <w:r>
              <w:rPr>
                <w:rFonts w:hint="eastAsia" w:ascii="宋体" w:hAnsi="宋体" w:eastAsia="宋体" w:cs="宋体"/>
                <w:kern w:val="0"/>
                <w:sz w:val="21"/>
                <w:szCs w:val="21"/>
                <w:lang w:val="en-US" w:eastAsia="zh-CN"/>
              </w:rPr>
              <w:t>实施生产。</w:t>
            </w:r>
          </w:p>
          <w:p>
            <w:pPr>
              <w:keepNext w:val="0"/>
              <w:keepLines w:val="0"/>
              <w:pageBreakBefore w:val="0"/>
              <w:widowControl w:val="0"/>
              <w:tabs>
                <w:tab w:val="left" w:pos="1965"/>
              </w:tabs>
              <w:kinsoku/>
              <w:wordWrap/>
              <w:overflowPunct/>
              <w:topLinePunct w:val="0"/>
              <w:autoSpaceDE w:val="0"/>
              <w:autoSpaceDN w:val="0"/>
              <w:bidi w:val="0"/>
              <w:adjustRightInd w:val="0"/>
              <w:spacing w:line="420" w:lineRule="exact"/>
              <w:ind w:left="0" w:leftChars="0" w:right="0" w:rightChars="0"/>
              <w:textAlignment w:val="auto"/>
              <w:outlineLvl w:val="9"/>
              <w:rPr>
                <w:rFonts w:hint="eastAsia" w:ascii="宋体" w:hAnsi="宋体" w:eastAsia="宋体"/>
                <w:b/>
                <w:sz w:val="21"/>
                <w:szCs w:val="21"/>
                <w:lang w:eastAsia="zh-CN"/>
              </w:rPr>
            </w:pPr>
            <w:r>
              <w:rPr>
                <w:rFonts w:hint="eastAsia" w:ascii="宋体" w:hAnsi="宋体" w:eastAsia="宋体" w:cs="宋体"/>
                <w:kern w:val="0"/>
                <w:sz w:val="21"/>
                <w:szCs w:val="21"/>
                <w:lang w:val="zh-CN"/>
              </w:rPr>
              <w:t>组织机构：</w:t>
            </w:r>
            <w:r>
              <w:rPr>
                <w:rFonts w:hint="eastAsia" w:ascii="宋体" w:hAnsi="宋体" w:eastAsia="宋体" w:cs="宋体"/>
                <w:kern w:val="0"/>
                <w:sz w:val="21"/>
                <w:szCs w:val="21"/>
                <w:lang w:val="en-US" w:eastAsia="zh-CN"/>
              </w:rPr>
              <w:t>质管部、设备部、调度室、安环部、人力部、供销部、矿管部、财务部、生产车间</w:t>
            </w:r>
            <w:r>
              <w:rPr>
                <w:rFonts w:hint="eastAsia" w:ascii="宋体" w:hAnsi="宋体" w:eastAsia="宋体" w:cs="宋体"/>
                <w:kern w:val="0"/>
                <w:sz w:val="21"/>
                <w:szCs w:val="21"/>
                <w:lang w:val="zh-CN"/>
              </w:rPr>
              <w:t>。各部门职责已确定并实施。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spacing w:line="240" w:lineRule="exact"/>
              <w:rPr>
                <w:rFonts w:hint="eastAsia" w:ascii="宋体" w:hAnsi="宋体" w:eastAsia="宋体"/>
                <w:b/>
                <w:sz w:val="21"/>
                <w:szCs w:val="21"/>
                <w:lang w:eastAsia="zh-CN"/>
              </w:rPr>
            </w:pPr>
            <w:r>
              <w:rPr>
                <w:rFonts w:ascii="宋体" w:hAnsi="宋体"/>
                <w:b/>
                <w:sz w:val="21"/>
                <w:szCs w:val="21"/>
              </w:rPr>
              <w:t>2</w:t>
            </w:r>
            <w:r>
              <w:rPr>
                <w:rFonts w:hint="eastAsia" w:ascii="宋体" w:hAnsi="宋体"/>
                <w:b/>
                <w:sz w:val="21"/>
                <w:szCs w:val="21"/>
              </w:rPr>
              <w:t>、相关方需求和期望识别情况</w:t>
            </w:r>
            <w:r>
              <w:rPr>
                <w:rFonts w:hint="eastAsia" w:ascii="宋体" w:hAnsi="宋体"/>
                <w:b/>
                <w:sz w:val="21"/>
                <w:szCs w:val="21"/>
                <w:lang w:eastAsia="zh-CN"/>
              </w:rPr>
              <w:t>：</w:t>
            </w:r>
            <w:r>
              <w:rPr>
                <w:rFonts w:hint="eastAsia" w:ascii="宋体" w:hAnsi="宋体" w:eastAsia="宋体" w:cs="宋体"/>
                <w:kern w:val="0"/>
                <w:sz w:val="21"/>
                <w:szCs w:val="21"/>
                <w:lang w:val="en-US" w:eastAsia="zh-CN"/>
              </w:rPr>
              <w:t>目前顾客及相关方的主要需求期望是：提供使用方便、质量较高且稳定对周边环境不造成大影响的产品。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2"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spacing w:line="240" w:lineRule="exact"/>
              <w:rPr>
                <w:rFonts w:hint="eastAsia" w:ascii="宋体" w:hAnsi="宋体" w:eastAsia="宋体" w:cs="宋体"/>
                <w:kern w:val="0"/>
                <w:sz w:val="21"/>
                <w:szCs w:val="21"/>
                <w:lang w:val="en-US" w:eastAsia="zh-CN"/>
              </w:rPr>
            </w:pPr>
            <w:r>
              <w:rPr>
                <w:rFonts w:ascii="宋体" w:hAnsi="宋体"/>
                <w:b/>
                <w:sz w:val="21"/>
                <w:szCs w:val="21"/>
              </w:rPr>
              <w:t>3.</w:t>
            </w:r>
            <w:r>
              <w:rPr>
                <w:rFonts w:hint="eastAsia" w:ascii="宋体" w:hAnsi="宋体"/>
                <w:b/>
                <w:sz w:val="21"/>
                <w:szCs w:val="21"/>
                <w:lang w:eastAsia="zh-CN"/>
              </w:rPr>
              <w:t>☑</w:t>
            </w:r>
            <w:r>
              <w:rPr>
                <w:rFonts w:hint="eastAsia" w:ascii="宋体" w:hAnsi="宋体"/>
                <w:b/>
                <w:sz w:val="21"/>
                <w:szCs w:val="21"/>
              </w:rPr>
              <w:t>质量</w:t>
            </w:r>
            <w:r>
              <w:rPr>
                <w:rFonts w:ascii="宋体" w:hAnsi="宋体"/>
                <w:b/>
                <w:sz w:val="21"/>
                <w:szCs w:val="21"/>
              </w:rPr>
              <w:t>/</w:t>
            </w:r>
            <w:r>
              <w:rPr>
                <w:rFonts w:hint="eastAsia" w:ascii="宋体" w:hAnsi="宋体"/>
                <w:b/>
                <w:sz w:val="21"/>
                <w:szCs w:val="21"/>
                <w:lang w:eastAsia="zh-CN"/>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lang w:eastAsia="zh-CN"/>
              </w:rPr>
              <w:t>☑</w:t>
            </w:r>
            <w:r>
              <w:rPr>
                <w:rFonts w:hint="eastAsia" w:ascii="宋体" w:hAnsi="宋体"/>
                <w:b/>
                <w:sz w:val="21"/>
                <w:szCs w:val="21"/>
              </w:rPr>
              <w:t>职业健康安全方针（组织方针的适宜性</w:t>
            </w:r>
            <w:r>
              <w:rPr>
                <w:rFonts w:ascii="宋体" w:hAnsi="宋体"/>
                <w:b/>
                <w:sz w:val="21"/>
                <w:szCs w:val="21"/>
              </w:rPr>
              <w:t>/</w:t>
            </w:r>
            <w:r>
              <w:rPr>
                <w:rFonts w:hint="eastAsia" w:ascii="宋体" w:hAnsi="宋体"/>
                <w:b/>
                <w:sz w:val="21"/>
                <w:szCs w:val="21"/>
              </w:rPr>
              <w:t>持续适宜性、方针的传达及职工的理解等）</w:t>
            </w:r>
            <w:r>
              <w:rPr>
                <w:rFonts w:hint="eastAsia" w:ascii="宋体" w:hAnsi="宋体" w:eastAsia="宋体" w:cs="宋体"/>
                <w:kern w:val="0"/>
                <w:sz w:val="21"/>
                <w:szCs w:val="21"/>
                <w:lang w:val="en-US" w:eastAsia="zh-CN"/>
              </w:rPr>
              <w:t>该公司管理方针为：“精益求精，顾客满意；节能降耗，保护环境，健康安全，持续改进”。</w:t>
            </w:r>
          </w:p>
          <w:p>
            <w:pPr>
              <w:spacing w:line="240" w:lineRule="exac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公司管理方针与企业宗旨相一致。</w:t>
            </w:r>
          </w:p>
          <w:p>
            <w:pPr>
              <w:spacing w:line="240" w:lineRule="exact"/>
              <w:rPr>
                <w:rFonts w:ascii="宋体" w:hAnsi="宋体"/>
                <w:b/>
                <w:sz w:val="21"/>
                <w:szCs w:val="21"/>
              </w:rPr>
            </w:pPr>
            <w:r>
              <w:rPr>
                <w:rFonts w:hint="eastAsia" w:ascii="宋体" w:hAnsi="宋体" w:eastAsia="宋体" w:cs="宋体"/>
                <w:kern w:val="0"/>
                <w:sz w:val="21"/>
                <w:szCs w:val="21"/>
                <w:lang w:val="en-US" w:eastAsia="zh-CN"/>
              </w:rPr>
              <w:t>以上管理方针通过文件、培训等形式将公司管理方针传达给所有为公司工作或代表公司的人员，相关方也可通过质管部获取公司管理方针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spacing w:line="280" w:lineRule="exact"/>
              <w:rPr>
                <w:rFonts w:hint="eastAsia" w:ascii="宋体" w:hAnsi="宋体" w:eastAsia="宋体"/>
                <w:b/>
                <w:sz w:val="21"/>
                <w:szCs w:val="21"/>
                <w:lang w:eastAsia="zh-CN"/>
              </w:rPr>
            </w:pPr>
            <w:r>
              <w:rPr>
                <w:rFonts w:ascii="宋体" w:hAnsi="宋体"/>
                <w:b/>
                <w:sz w:val="21"/>
                <w:szCs w:val="21"/>
              </w:rPr>
              <w:t>4</w:t>
            </w:r>
            <w:r>
              <w:rPr>
                <w:rFonts w:hint="eastAsia" w:ascii="宋体" w:hAnsi="宋体"/>
                <w:b/>
                <w:sz w:val="21"/>
                <w:szCs w:val="21"/>
              </w:rPr>
              <w:t>、风险识别与控制策划</w:t>
            </w:r>
            <w:r>
              <w:rPr>
                <w:rFonts w:hint="eastAsia" w:ascii="宋体" w:hAnsi="宋体"/>
                <w:b/>
                <w:sz w:val="21"/>
                <w:szCs w:val="21"/>
                <w:lang w:eastAsia="zh-CN"/>
              </w:rPr>
              <w:t>：</w:t>
            </w:r>
            <w:r>
              <w:rPr>
                <w:rFonts w:hint="eastAsia" w:ascii="宋体" w:hAnsi="宋体" w:eastAsia="宋体" w:cs="宋体"/>
                <w:kern w:val="0"/>
                <w:sz w:val="21"/>
                <w:szCs w:val="21"/>
                <w:lang w:val="en-US" w:eastAsia="zh-CN"/>
              </w:rPr>
              <w:t>在策划管理体系时考虑了风险和机遇以及相应的应对措施，制定了《风险和机遇的应对控制程序》，明确风险和机遇事件的识别方法/途径、风险和机遇事件的评估方式、制定主要风险和机遇事件的应对措施的要求、评价这些措施有效性的方法。提供了“风险和机遇评估表”，将需要应对的风险和机遇进行风险分析确定风险级别（一般风险、高风险），在管理体系所确定的过程（客户开发、供应商的要求等）中，整合制定针对性管理措施（如程序控制等）。提供了“经营环境分析及对策”，已认真交流风险如战略失误、环保及人力资源成本上升、竞争不断加剧及管理失误等，主要措施确定战略应更加科学严谨；通过提高管理水平和自动智能化程度消化人力资源紧缺和成本上升；加强设备技术改造、采购、生产环节环保控制；通过差异化策略提高竞争力。效果待观察。机遇主要是现在社会需求不断增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rPr>
                <w:rFonts w:hint="eastAsia"/>
                <w:sz w:val="21"/>
                <w:szCs w:val="21"/>
                <w:lang w:eastAsia="zh-CN"/>
              </w:rPr>
            </w:pPr>
            <w:r>
              <w:rPr>
                <w:rFonts w:hint="eastAsia"/>
                <w:sz w:val="21"/>
                <w:szCs w:val="21"/>
                <w:lang w:val="en-US" w:eastAsia="zh-CN"/>
              </w:rPr>
              <w:t>1、</w:t>
            </w:r>
            <w:r>
              <w:rPr>
                <w:rFonts w:hint="eastAsia"/>
                <w:sz w:val="21"/>
                <w:szCs w:val="21"/>
              </w:rPr>
              <w:t>铜矿及其伴生金属矿</w:t>
            </w:r>
            <w:r>
              <w:rPr>
                <w:rFonts w:hint="eastAsia"/>
                <w:sz w:val="21"/>
                <w:szCs w:val="21"/>
                <w:lang w:eastAsia="zh-CN"/>
              </w:rPr>
              <w:t>（</w:t>
            </w:r>
            <w:r>
              <w:rPr>
                <w:rFonts w:hint="eastAsia"/>
                <w:sz w:val="21"/>
                <w:szCs w:val="21"/>
                <w:lang w:val="en-US" w:eastAsia="zh-CN"/>
              </w:rPr>
              <w:t>伴生银</w:t>
            </w:r>
            <w:r>
              <w:rPr>
                <w:rFonts w:hint="eastAsia"/>
                <w:sz w:val="21"/>
                <w:szCs w:val="21"/>
                <w:lang w:eastAsia="zh-CN"/>
              </w:rPr>
              <w:t>）：</w:t>
            </w:r>
          </w:p>
          <w:p>
            <w:pPr>
              <w:rPr>
                <w:rFonts w:hint="default"/>
                <w:sz w:val="21"/>
                <w:szCs w:val="21"/>
                <w:lang w:val="en-US" w:eastAsia="zh-CN"/>
              </w:rPr>
            </w:pPr>
            <w:r>
              <w:rPr>
                <w:rFonts w:hint="eastAsia" w:ascii="Arial" w:hAnsi="Arial" w:cs="Arial"/>
                <w:sz w:val="21"/>
                <w:szCs w:val="21"/>
                <w:lang w:val="en-US" w:eastAsia="zh-CN"/>
              </w:rPr>
              <w:t>硫化矿石</w:t>
            </w:r>
            <w:r>
              <w:rPr>
                <w:rFonts w:hint="default" w:ascii="Arial" w:hAnsi="Arial" w:cs="Arial"/>
                <w:sz w:val="21"/>
                <w:szCs w:val="21"/>
                <w:lang w:eastAsia="zh-CN"/>
              </w:rPr>
              <w:t>→</w:t>
            </w:r>
            <w:r>
              <w:rPr>
                <w:rFonts w:hint="eastAsia" w:ascii="Arial" w:hAnsi="Arial" w:cs="Arial"/>
                <w:sz w:val="21"/>
                <w:szCs w:val="21"/>
                <w:lang w:val="en-US" w:eastAsia="zh-CN"/>
              </w:rPr>
              <w:t>破碎</w:t>
            </w:r>
            <w:r>
              <w:rPr>
                <w:rFonts w:hint="default" w:ascii="Arial" w:hAnsi="Arial" w:cs="Arial"/>
                <w:sz w:val="21"/>
                <w:szCs w:val="21"/>
                <w:lang w:eastAsia="zh-CN"/>
              </w:rPr>
              <w:t>→</w:t>
            </w:r>
            <w:r>
              <w:rPr>
                <w:rFonts w:hint="eastAsia" w:ascii="Arial" w:hAnsi="Arial" w:cs="Arial"/>
                <w:sz w:val="21"/>
                <w:szCs w:val="21"/>
                <w:highlight w:val="none"/>
                <w:lang w:val="en-US" w:eastAsia="zh-CN"/>
              </w:rPr>
              <w:t>选矿（磨矿、浮选、脱水）</w:t>
            </w:r>
            <w:r>
              <w:rPr>
                <w:rFonts w:hint="default" w:ascii="Arial" w:hAnsi="Arial" w:cs="Arial"/>
                <w:sz w:val="21"/>
                <w:szCs w:val="21"/>
                <w:lang w:eastAsia="zh-CN"/>
              </w:rPr>
              <w:t>→</w:t>
            </w:r>
            <w:r>
              <w:rPr>
                <w:rFonts w:hint="eastAsia" w:ascii="Arial" w:hAnsi="Arial" w:cs="Arial"/>
                <w:sz w:val="21"/>
                <w:szCs w:val="21"/>
                <w:lang w:val="en-US" w:eastAsia="zh-CN"/>
              </w:rPr>
              <w:t>铜矿/</w:t>
            </w:r>
            <w:r>
              <w:rPr>
                <w:rFonts w:hint="eastAsia"/>
                <w:sz w:val="21"/>
                <w:szCs w:val="21"/>
              </w:rPr>
              <w:t>及其伴生金属矿</w:t>
            </w:r>
            <w:r>
              <w:rPr>
                <w:rFonts w:hint="eastAsia"/>
                <w:sz w:val="21"/>
                <w:szCs w:val="21"/>
                <w:lang w:eastAsia="zh-CN"/>
              </w:rPr>
              <w:t>（</w:t>
            </w:r>
            <w:r>
              <w:rPr>
                <w:rFonts w:hint="eastAsia"/>
                <w:sz w:val="21"/>
                <w:szCs w:val="21"/>
                <w:lang w:val="en-US" w:eastAsia="zh-CN"/>
              </w:rPr>
              <w:t>伴生银</w:t>
            </w:r>
            <w:r>
              <w:rPr>
                <w:rFonts w:hint="eastAsia"/>
                <w:sz w:val="21"/>
                <w:szCs w:val="21"/>
                <w:lang w:eastAsia="zh-CN"/>
              </w:rPr>
              <w:t>）</w:t>
            </w:r>
            <w:r>
              <w:rPr>
                <w:rFonts w:hint="eastAsia"/>
                <w:sz w:val="21"/>
                <w:szCs w:val="21"/>
                <w:lang w:val="en-US" w:eastAsia="zh-CN"/>
              </w:rPr>
              <w:t xml:space="preserve">                               </w:t>
            </w:r>
            <w:r>
              <w:rPr>
                <w:rFonts w:hint="eastAsia" w:ascii="Arial" w:hAnsi="Arial" w:cs="Arial"/>
                <w:sz w:val="21"/>
                <w:szCs w:val="21"/>
                <w:lang w:val="en-US" w:eastAsia="zh-CN"/>
              </w:rPr>
              <w:t xml:space="preserve">                                  </w:t>
            </w:r>
          </w:p>
          <w:p>
            <w:pPr>
              <w:rPr>
                <w:rFonts w:hint="eastAsia"/>
                <w:sz w:val="21"/>
                <w:szCs w:val="21"/>
                <w:lang w:val="en-US" w:eastAsia="zh-CN"/>
              </w:rPr>
            </w:pPr>
            <w:r>
              <w:rPr>
                <w:rFonts w:hint="eastAsia"/>
                <w:sz w:val="21"/>
                <w:szCs w:val="21"/>
                <w:lang w:val="en-US" w:eastAsia="zh-CN"/>
              </w:rPr>
              <w:t xml:space="preserve">                                  </w:t>
            </w:r>
            <w:r>
              <w:rPr>
                <w:rFonts w:hint="default" w:ascii="Arial" w:hAnsi="Arial" w:cs="Arial"/>
                <w:sz w:val="21"/>
                <w:szCs w:val="21"/>
                <w:lang w:val="en-US" w:eastAsia="zh-CN"/>
              </w:rPr>
              <w:t>↓</w:t>
            </w:r>
          </w:p>
          <w:p>
            <w:pPr>
              <w:ind w:firstLine="3360" w:firstLineChars="1600"/>
              <w:rPr>
                <w:rFonts w:hint="eastAsia"/>
                <w:sz w:val="21"/>
                <w:szCs w:val="21"/>
                <w:lang w:val="en-US" w:eastAsia="zh-CN"/>
              </w:rPr>
            </w:pPr>
            <w:r>
              <w:rPr>
                <w:rFonts w:hint="eastAsia"/>
                <w:sz w:val="21"/>
                <w:szCs w:val="21"/>
                <w:lang w:val="en-US" w:eastAsia="zh-CN"/>
              </w:rPr>
              <w:t xml:space="preserve"> 中和</w:t>
            </w:r>
            <w:r>
              <w:rPr>
                <w:rFonts w:hint="default" w:ascii="Arial" w:hAnsi="Arial" w:cs="Arial"/>
                <w:sz w:val="21"/>
                <w:szCs w:val="21"/>
                <w:lang w:eastAsia="zh-CN"/>
              </w:rPr>
              <w:t>→</w:t>
            </w:r>
            <w:r>
              <w:rPr>
                <w:rFonts w:hint="eastAsia" w:ascii="Arial" w:hAnsi="Arial" w:cs="Arial"/>
                <w:sz w:val="21"/>
                <w:szCs w:val="21"/>
                <w:lang w:val="en-US" w:eastAsia="zh-CN"/>
              </w:rPr>
              <w:t>尾矿</w:t>
            </w:r>
          </w:p>
          <w:p>
            <w:pPr>
              <w:rPr>
                <w:rFonts w:hint="eastAsia" w:ascii="Arial" w:hAnsi="Arial" w:cs="Arial"/>
                <w:sz w:val="21"/>
                <w:szCs w:val="21"/>
                <w:highlight w:val="none"/>
                <w:lang w:val="en-US" w:eastAsia="zh-CN"/>
              </w:rPr>
            </w:pPr>
            <w:r>
              <w:rPr>
                <w:rFonts w:hint="eastAsia"/>
                <w:sz w:val="21"/>
                <w:szCs w:val="21"/>
                <w:lang w:val="en-US" w:eastAsia="zh-CN"/>
              </w:rPr>
              <w:t>关键工序：</w:t>
            </w:r>
            <w:r>
              <w:rPr>
                <w:rFonts w:hint="eastAsia" w:ascii="Arial" w:hAnsi="Arial" w:cs="Arial"/>
                <w:sz w:val="21"/>
                <w:szCs w:val="21"/>
                <w:highlight w:val="none"/>
                <w:lang w:val="en-US" w:eastAsia="zh-CN"/>
              </w:rPr>
              <w:t>选矿（磨矿、浮选、脱水）  特殊工序：无</w:t>
            </w:r>
          </w:p>
          <w:p>
            <w:pPr>
              <w:rPr>
                <w:rFonts w:hint="eastAsia" w:ascii="Arial" w:hAnsi="Arial" w:cs="Arial"/>
                <w:sz w:val="21"/>
                <w:szCs w:val="21"/>
                <w:highlight w:val="none"/>
                <w:lang w:val="en-US" w:eastAsia="zh-CN"/>
              </w:rPr>
            </w:pPr>
          </w:p>
          <w:p>
            <w:pPr>
              <w:numPr>
                <w:ilvl w:val="0"/>
                <w:numId w:val="1"/>
              </w:numPr>
              <w:rPr>
                <w:rFonts w:hint="eastAsia"/>
                <w:sz w:val="21"/>
                <w:szCs w:val="21"/>
                <w:lang w:val="en-US" w:eastAsia="zh-CN"/>
              </w:rPr>
            </w:pPr>
            <w:r>
              <w:rPr>
                <w:rFonts w:hint="eastAsia"/>
                <w:sz w:val="21"/>
                <w:szCs w:val="21"/>
              </w:rPr>
              <w:t>铜矿</w:t>
            </w:r>
            <w:r>
              <w:rPr>
                <w:rFonts w:hint="eastAsia"/>
                <w:sz w:val="21"/>
                <w:szCs w:val="21"/>
                <w:lang w:val="en-US" w:eastAsia="zh-CN"/>
              </w:rPr>
              <w:t>冶炼</w:t>
            </w:r>
            <w:r>
              <w:rPr>
                <w:rFonts w:hint="eastAsia"/>
                <w:sz w:val="21"/>
                <w:szCs w:val="21"/>
              </w:rPr>
              <w:t>（</w:t>
            </w:r>
            <w:r>
              <w:rPr>
                <w:rFonts w:hint="eastAsia"/>
                <w:sz w:val="21"/>
                <w:szCs w:val="21"/>
                <w:lang w:val="en-US" w:eastAsia="zh-CN"/>
              </w:rPr>
              <w:t>阴极铜</w:t>
            </w:r>
            <w:r>
              <w:rPr>
                <w:rFonts w:hint="eastAsia"/>
                <w:sz w:val="21"/>
                <w:szCs w:val="21"/>
              </w:rPr>
              <w:t>）</w:t>
            </w:r>
            <w:r>
              <w:rPr>
                <w:rFonts w:hint="eastAsia"/>
                <w:sz w:val="21"/>
                <w:szCs w:val="21"/>
                <w:lang w:val="en-US" w:eastAsia="zh-CN"/>
              </w:rPr>
              <w:t>：</w:t>
            </w:r>
          </w:p>
          <w:p>
            <w:pPr>
              <w:numPr>
                <w:ilvl w:val="0"/>
                <w:numId w:val="0"/>
              </w:numPr>
              <w:rPr>
                <w:rFonts w:hint="eastAsia"/>
                <w:sz w:val="21"/>
                <w:szCs w:val="21"/>
                <w:lang w:val="en-US" w:eastAsia="zh-CN"/>
              </w:rPr>
            </w:pPr>
            <w:r>
              <w:rPr>
                <w:rFonts w:hint="eastAsia"/>
                <w:sz w:val="21"/>
                <w:szCs w:val="21"/>
                <w:lang w:val="en-US" w:eastAsia="zh-CN"/>
              </w:rPr>
              <w:t>氧化矿石</w:t>
            </w:r>
            <w:r>
              <w:rPr>
                <w:rFonts w:hint="default"/>
                <w:sz w:val="21"/>
                <w:szCs w:val="21"/>
                <w:lang w:val="en-US" w:eastAsia="zh-CN"/>
              </w:rPr>
              <w:t>→</w:t>
            </w:r>
            <w:r>
              <w:rPr>
                <w:rFonts w:hint="eastAsia"/>
                <w:sz w:val="21"/>
                <w:szCs w:val="21"/>
                <w:lang w:val="en-US" w:eastAsia="zh-CN"/>
              </w:rPr>
              <w:t>破碎磨矿</w:t>
            </w:r>
            <w:r>
              <w:rPr>
                <w:rFonts w:hint="default"/>
                <w:sz w:val="21"/>
                <w:szCs w:val="21"/>
                <w:lang w:val="en-US" w:eastAsia="zh-CN"/>
              </w:rPr>
              <w:t>→</w:t>
            </w:r>
            <w:r>
              <w:rPr>
                <w:rFonts w:hint="eastAsia"/>
                <w:sz w:val="21"/>
                <w:szCs w:val="21"/>
                <w:lang w:val="en-US" w:eastAsia="zh-CN"/>
              </w:rPr>
              <w:t>浓密</w:t>
            </w:r>
            <w:r>
              <w:rPr>
                <w:rFonts w:hint="default"/>
                <w:sz w:val="21"/>
                <w:szCs w:val="21"/>
                <w:lang w:val="en-US" w:eastAsia="zh-CN"/>
              </w:rPr>
              <w:t>→</w:t>
            </w:r>
            <w:r>
              <w:rPr>
                <w:rFonts w:hint="eastAsia"/>
                <w:sz w:val="21"/>
                <w:szCs w:val="21"/>
                <w:lang w:val="en-US" w:eastAsia="zh-CN"/>
              </w:rPr>
              <w:t>酸浸</w:t>
            </w:r>
            <w:r>
              <w:rPr>
                <w:rFonts w:hint="default"/>
                <w:sz w:val="21"/>
                <w:szCs w:val="21"/>
                <w:lang w:val="en-US" w:eastAsia="zh-CN"/>
              </w:rPr>
              <w:t>→</w:t>
            </w:r>
            <w:r>
              <w:rPr>
                <w:rFonts w:hint="eastAsia"/>
                <w:sz w:val="21"/>
                <w:szCs w:val="21"/>
                <w:lang w:val="en-US" w:eastAsia="zh-CN"/>
              </w:rPr>
              <w:t>萃取</w:t>
            </w:r>
            <w:r>
              <w:rPr>
                <w:rFonts w:hint="default"/>
                <w:sz w:val="21"/>
                <w:szCs w:val="21"/>
                <w:lang w:val="en-US" w:eastAsia="zh-CN"/>
              </w:rPr>
              <w:t>→</w:t>
            </w:r>
            <w:r>
              <w:rPr>
                <w:rFonts w:hint="eastAsia"/>
                <w:sz w:val="21"/>
                <w:szCs w:val="21"/>
                <w:lang w:val="en-US" w:eastAsia="zh-CN"/>
              </w:rPr>
              <w:t>电积</w:t>
            </w:r>
            <w:r>
              <w:rPr>
                <w:rFonts w:hint="default" w:ascii="Arial" w:hAnsi="Arial" w:cs="Arial"/>
                <w:sz w:val="21"/>
                <w:szCs w:val="21"/>
                <w:lang w:eastAsia="zh-CN"/>
              </w:rPr>
              <w:t>→</w:t>
            </w:r>
            <w:r>
              <w:rPr>
                <w:rFonts w:hint="eastAsia"/>
                <w:sz w:val="21"/>
                <w:szCs w:val="21"/>
                <w:lang w:val="en-US" w:eastAsia="zh-CN"/>
              </w:rPr>
              <w:t>阴极铜</w:t>
            </w:r>
          </w:p>
          <w:p>
            <w:pPr>
              <w:rPr>
                <w:rFonts w:hint="eastAsia"/>
                <w:sz w:val="21"/>
                <w:szCs w:val="21"/>
                <w:lang w:eastAsia="zh-CN"/>
              </w:rPr>
            </w:pPr>
            <w:r>
              <w:rPr>
                <w:rFonts w:hint="eastAsia"/>
                <w:sz w:val="21"/>
                <w:szCs w:val="21"/>
                <w:lang w:val="en-US" w:eastAsia="zh-CN"/>
              </w:rPr>
              <w:t xml:space="preserve">                                       </w:t>
            </w:r>
            <w:r>
              <w:rPr>
                <w:rFonts w:hint="default" w:ascii="Arial" w:hAnsi="Arial" w:cs="Arial"/>
                <w:sz w:val="21"/>
                <w:szCs w:val="21"/>
                <w:lang w:val="en-US" w:eastAsia="zh-CN"/>
              </w:rPr>
              <w:t>↓</w:t>
            </w:r>
          </w:p>
          <w:p>
            <w:pPr>
              <w:numPr>
                <w:ilvl w:val="0"/>
                <w:numId w:val="0"/>
              </w:numPr>
              <w:rPr>
                <w:rFonts w:hint="eastAsia"/>
                <w:sz w:val="21"/>
                <w:szCs w:val="21"/>
                <w:lang w:val="en-US" w:eastAsia="zh-CN"/>
              </w:rPr>
            </w:pPr>
            <w:r>
              <w:rPr>
                <w:rFonts w:hint="eastAsia"/>
                <w:sz w:val="21"/>
                <w:szCs w:val="21"/>
                <w:lang w:val="en-US" w:eastAsia="zh-CN"/>
              </w:rPr>
              <w:t xml:space="preserve">                                      中和</w:t>
            </w:r>
            <w:r>
              <w:rPr>
                <w:rFonts w:hint="default" w:ascii="Arial" w:hAnsi="Arial" w:cs="Arial"/>
                <w:sz w:val="21"/>
                <w:szCs w:val="21"/>
                <w:lang w:eastAsia="zh-CN"/>
              </w:rPr>
              <w:t>→</w:t>
            </w:r>
            <w:r>
              <w:rPr>
                <w:rFonts w:hint="eastAsia" w:ascii="Arial" w:hAnsi="Arial" w:cs="Arial"/>
                <w:sz w:val="21"/>
                <w:szCs w:val="21"/>
                <w:lang w:val="en-US" w:eastAsia="zh-CN"/>
              </w:rPr>
              <w:t>尾矿</w:t>
            </w:r>
          </w:p>
          <w:p>
            <w:pPr>
              <w:numPr>
                <w:ilvl w:val="0"/>
                <w:numId w:val="0"/>
              </w:numPr>
              <w:rPr>
                <w:rFonts w:hint="eastAsia"/>
                <w:sz w:val="21"/>
                <w:szCs w:val="21"/>
                <w:lang w:val="en-US" w:eastAsia="zh-CN"/>
              </w:rPr>
            </w:pPr>
            <w:r>
              <w:rPr>
                <w:rFonts w:hint="eastAsia"/>
                <w:sz w:val="21"/>
                <w:szCs w:val="21"/>
                <w:lang w:val="en-US" w:eastAsia="zh-CN"/>
              </w:rPr>
              <w:t xml:space="preserve">关键工序：电积    </w:t>
            </w:r>
            <w:r>
              <w:rPr>
                <w:rFonts w:hint="eastAsia" w:ascii="Arial" w:hAnsi="Arial" w:cs="Arial"/>
                <w:sz w:val="21"/>
                <w:szCs w:val="21"/>
                <w:highlight w:val="none"/>
                <w:lang w:val="en-US" w:eastAsia="zh-CN"/>
              </w:rPr>
              <w:t>特殊工序：无</w:t>
            </w:r>
          </w:p>
          <w:p>
            <w:pPr>
              <w:spacing w:line="320" w:lineRule="exact"/>
              <w:ind w:firstLine="482" w:firstLineChars="200"/>
              <w:rPr>
                <w:rFonts w:ascii="宋体" w:hAnsi="宋体"/>
                <w:b/>
                <w:sz w:val="21"/>
                <w:szCs w:val="21"/>
              </w:rPr>
            </w:pPr>
            <w:r>
              <w:rPr>
                <w:rFonts w:hint="eastAsia" w:ascii="宋体" w:hAnsi="宋体" w:cs="宋体"/>
                <w:b/>
                <w:bCs/>
                <w:szCs w:val="21"/>
              </w:rPr>
              <w:t>不适用条款是</w:t>
            </w:r>
            <w:r>
              <w:rPr>
                <w:rFonts w:hint="eastAsia" w:ascii="宋体" w:hAnsi="宋体" w:cs="宋体"/>
                <w:szCs w:val="21"/>
              </w:rPr>
              <w:t xml:space="preserve"> 8.3，</w:t>
            </w:r>
            <w:r>
              <w:rPr>
                <w:rFonts w:hint="eastAsia" w:ascii="宋体" w:hAnsi="宋体" w:cs="宋体"/>
                <w:b/>
                <w:bCs/>
                <w:szCs w:val="21"/>
              </w:rPr>
              <w:t>不适用理</w:t>
            </w:r>
            <w:r>
              <w:rPr>
                <w:rFonts w:hint="eastAsia" w:ascii="宋体" w:hAnsi="宋体" w:cs="宋体"/>
                <w:szCs w:val="21"/>
              </w:rPr>
              <w:t>由：</w:t>
            </w:r>
            <w:r>
              <w:rPr>
                <w:rFonts w:hint="eastAsia" w:ascii="宋体" w:hAnsi="宋体" w:eastAsia="宋体" w:cs="宋体"/>
                <w:kern w:val="0"/>
                <w:sz w:val="21"/>
                <w:szCs w:val="21"/>
                <w:lang w:val="en-US" w:eastAsia="zh-CN"/>
              </w:rPr>
              <w:t xml:space="preserve">公司 铜矿及伴生金属矿（伴生银）、铜矿冶炼（阴极铜）的加工。按相关标准及顾客要求进行，生产服务流程成熟、较简单，不适用8.3设计开发条款后不影响公司提供满足顾客和法律法规要求产品服务的能力和责任，删减不适用条款理由合理。 </w:t>
            </w:r>
            <w:r>
              <w:rPr>
                <w:b/>
                <w:color w:val="000000" w:themeColor="text1"/>
                <w:sz w:val="20"/>
                <w:szCs w:val="20"/>
              </w:rPr>
              <w:pict>
                <v:shape id="_x0000_s2053" o:spid="_x0000_s2053" o:spt="32" type="#_x0000_t32" style="position:absolute;left:0pt;margin-left:157.9pt;margin-top:12.75pt;height:0pt;width:261.75pt;z-index:251677696;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2054" o:spid="_x0000_s2054" o:spt="32" type="#_x0000_t32" style="position:absolute;left:0pt;margin-left:55.15pt;margin-top:12.75pt;height:0pt;width:42pt;z-index:251676672;mso-width-relative:page;mso-height-relative:page;" o:connectortype="straight" filled="f" coordsize="21600,21600">
                  <v:path arrowok="t"/>
                  <v:fill on="f" focussize="0,0"/>
                  <v:stroke/>
                  <v:imagedata o:title=""/>
                  <o:lock v:ext="edit"/>
                </v:shape>
              </w:pi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lang w:eastAsia="zh-CN"/>
              </w:rPr>
              <w:t>☑</w:t>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320" w:lineRule="exact"/>
              <w:ind w:firstLine="420" w:firstLineChars="200"/>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编制了《环境因素识别与评价控制程序》，采用是非判断法，规定了重大环境因素评定。</w:t>
            </w:r>
          </w:p>
          <w:p>
            <w:pPr>
              <w:spacing w:line="320" w:lineRule="exact"/>
              <w:ind w:firstLine="420" w:firstLineChars="200"/>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提供《环境因素识别评价表》对生产、服务和办公活动生命周期全过程分别进行排查，考虑了大气污染、噪声污染、土壤污染、水污染、废弃物污染、能源和资源消耗、火灾等方面；从过去、现在、将来三种时态；正常、异常和紧急三种。生产过程中的环境因素，除了本身在生产过程中的环境因素外，公司也识别了能够施加影响的供方和客户的环境因素。另外，在采购产品的采购、运输、使用、寿命结束后处理和最终处置相关的潜在重大环境影响。本部门识别的各过程环境因素有：废水噪声排放、固废排放、粉尘排放、水电消耗、潜在火灾等。重要环境因素识别有：废水、废气、火灾、噪声、固废。</w:t>
            </w:r>
          </w:p>
          <w:p>
            <w:pPr>
              <w:spacing w:line="320" w:lineRule="exact"/>
              <w:ind w:firstLine="420" w:firstLineChars="200"/>
              <w:rPr>
                <w:rFonts w:ascii="宋体" w:hAnsi="宋体"/>
                <w:b/>
                <w:sz w:val="21"/>
                <w:szCs w:val="21"/>
              </w:rPr>
            </w:pPr>
            <w:r>
              <w:rPr>
                <w:rFonts w:hint="eastAsia" w:ascii="宋体" w:hAnsi="宋体" w:eastAsia="宋体" w:cs="宋体"/>
                <w:kern w:val="0"/>
                <w:sz w:val="21"/>
                <w:szCs w:val="21"/>
                <w:lang w:val="en-US" w:eastAsia="zh-CN"/>
              </w:rPr>
              <w:t>环境因素识别经核实，基本齐全。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7. </w:t>
            </w:r>
            <w:r>
              <w:rPr>
                <w:rFonts w:hint="eastAsia" w:ascii="宋体" w:hAnsi="宋体"/>
                <w:b/>
                <w:sz w:val="21"/>
                <w:szCs w:val="21"/>
                <w:lang w:eastAsia="zh-CN"/>
              </w:rPr>
              <w:t>☑</w:t>
            </w:r>
            <w:r>
              <w:rPr>
                <w:rFonts w:ascii="宋体" w:hAnsi="宋体"/>
                <w:b/>
                <w:sz w:val="21"/>
                <w:szCs w:val="21"/>
              </w:rPr>
              <w:t>OHSMS</w:t>
            </w:r>
            <w:r>
              <w:rPr>
                <w:rFonts w:hint="eastAsia" w:ascii="宋体" w:hAnsi="宋体"/>
                <w:b/>
                <w:sz w:val="21"/>
                <w:szCs w:val="21"/>
              </w:rPr>
              <w:t>职业健康安全危险源</w:t>
            </w:r>
          </w:p>
          <w:p>
            <w:pPr>
              <w:spacing w:line="320" w:lineRule="exact"/>
              <w:ind w:firstLine="422" w:firstLineChars="200"/>
              <w:rPr>
                <w:rFonts w:hint="eastAsia" w:ascii="宋体" w:hAnsi="宋体" w:eastAsia="宋体" w:cs="宋体"/>
                <w:kern w:val="0"/>
                <w:sz w:val="21"/>
                <w:szCs w:val="21"/>
                <w:lang w:val="en-US" w:eastAsia="zh-CN"/>
              </w:rPr>
            </w:pPr>
            <w:r>
              <w:rPr>
                <w:rFonts w:hint="eastAsia" w:ascii="宋体" w:hAnsi="宋体"/>
                <w:b/>
                <w:sz w:val="21"/>
                <w:szCs w:val="21"/>
              </w:rPr>
              <w:t>（职业健康安全危险源辨识是否充分、风险评价合理性，以及风险评价动态变更的及时性等）</w:t>
            </w:r>
            <w:r>
              <w:rPr>
                <w:rFonts w:hint="eastAsia" w:ascii="宋体" w:hAnsi="宋体"/>
                <w:b/>
                <w:sz w:val="21"/>
                <w:szCs w:val="21"/>
                <w:lang w:eastAsia="zh-CN"/>
              </w:rPr>
              <w:t>：</w:t>
            </w:r>
            <w:r>
              <w:rPr>
                <w:rFonts w:hint="eastAsia" w:ascii="宋体" w:hAnsi="宋体" w:eastAsia="宋体" w:cs="宋体"/>
                <w:kern w:val="0"/>
                <w:sz w:val="21"/>
                <w:szCs w:val="21"/>
                <w:lang w:val="en-US" w:eastAsia="zh-CN"/>
              </w:rPr>
              <w:t>编制了《危险源辨识和风险评价程序》，采用危险源级别判定标准，规定重大危险源判定。</w:t>
            </w:r>
          </w:p>
          <w:p>
            <w:pPr>
              <w:spacing w:line="320" w:lineRule="exact"/>
              <w:ind w:firstLine="420" w:firstLineChars="200"/>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提供《危险源辨识和风险评价表》对生产、办公各过程和办公活动分别进行辨识，考虑了触电、职业病伤害、意外伤害、食物中毒、火灾等方面；从过去、现在、将来三种时态；正常、异常和紧急三种状态识别危险源。识别的各区域危险源有：触电、意外伤害、中毒、火灾、交通事故等。重大危险源识别有：火灾；硫酸灼伤、高空坠落、中毒等意外伤害；噪声、粉尘、辐射职业病。</w:t>
            </w:r>
          </w:p>
          <w:p>
            <w:pPr>
              <w:spacing w:line="320" w:lineRule="exact"/>
              <w:ind w:firstLine="420" w:firstLineChars="200"/>
              <w:rPr>
                <w:rFonts w:hint="eastAsia" w:ascii="宋体" w:hAnsi="宋体" w:eastAsia="宋体"/>
                <w:b/>
                <w:sz w:val="21"/>
                <w:szCs w:val="21"/>
                <w:lang w:eastAsia="zh-CN"/>
              </w:rPr>
            </w:pPr>
            <w:r>
              <w:rPr>
                <w:rFonts w:hint="eastAsia" w:ascii="宋体" w:hAnsi="宋体" w:eastAsia="宋体" w:cs="宋体"/>
                <w:kern w:val="0"/>
                <w:sz w:val="21"/>
                <w:szCs w:val="21"/>
                <w:lang w:val="en-US" w:eastAsia="zh-CN"/>
              </w:rPr>
              <w:t>危险源识别经核实，基本齐全。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hint="eastAsia" w:ascii="Times New Roman" w:hAnsi="Times New Roman" w:eastAsia="宋体" w:cs="Times New Roman"/>
                <w:b/>
                <w:color w:val="000000" w:themeColor="text1"/>
                <w:sz w:val="21"/>
                <w:szCs w:val="21"/>
              </w:rPr>
            </w:pPr>
            <w:r>
              <w:rPr>
                <w:rFonts w:hint="eastAsia" w:ascii="Times New Roman" w:hAnsi="Times New Roman" w:eastAsia="宋体" w:cs="Times New Roman"/>
                <w:b/>
                <w:color w:val="000000" w:themeColor="text1"/>
                <w:sz w:val="21"/>
                <w:szCs w:val="21"/>
              </w:rPr>
              <w:t>8. 法律法规及其他要求</w:t>
            </w:r>
          </w:p>
          <w:p>
            <w:pPr>
              <w:spacing w:line="300" w:lineRule="exact"/>
              <w:rPr>
                <w:rFonts w:hint="eastAsia" w:ascii="Times New Roman" w:hAnsi="Times New Roman" w:eastAsia="宋体" w:cs="Times New Roman"/>
                <w:b/>
                <w:color w:val="000000" w:themeColor="text1"/>
                <w:sz w:val="21"/>
                <w:szCs w:val="21"/>
              </w:rPr>
            </w:pPr>
          </w:p>
          <w:p>
            <w:pPr>
              <w:spacing w:line="300" w:lineRule="exact"/>
              <w:rPr>
                <w:rFonts w:hint="eastAsia" w:ascii="Times New Roman" w:hAnsi="Times New Roman" w:eastAsia="宋体" w:cs="Times New Roman"/>
                <w:b/>
                <w:color w:val="000000" w:themeColor="text1"/>
                <w:sz w:val="21"/>
                <w:szCs w:val="21"/>
              </w:rPr>
            </w:pPr>
            <w:r>
              <w:rPr>
                <w:rFonts w:hint="eastAsia" w:ascii="Times New Roman" w:hAnsi="Times New Roman" w:eastAsia="宋体" w:cs="Times New Roman"/>
                <w:b/>
                <w:color w:val="000000" w:themeColor="text1"/>
                <w:sz w:val="21"/>
                <w:szCs w:val="21"/>
              </w:rPr>
              <w:t>获取法律法规项，</w:t>
            </w:r>
            <w:r>
              <w:rPr>
                <w:rFonts w:hint="eastAsia" w:ascii="Times New Roman" w:hAnsi="Times New Roman" w:eastAsia="宋体" w:cs="Times New Roman"/>
                <w:b/>
                <w:color w:val="000000" w:themeColor="text1"/>
                <w:sz w:val="21"/>
                <w:szCs w:val="21"/>
                <w:lang w:eastAsia="zh-CN"/>
              </w:rPr>
              <w:t>☑</w:t>
            </w:r>
            <w:r>
              <w:rPr>
                <w:rFonts w:hint="eastAsia" w:ascii="Times New Roman" w:hAnsi="Times New Roman" w:eastAsia="宋体" w:cs="Times New Roman"/>
                <w:b/>
                <w:color w:val="000000" w:themeColor="text1"/>
                <w:sz w:val="21"/>
                <w:szCs w:val="21"/>
              </w:rPr>
              <w:t>法律法规获取充分</w:t>
            </w:r>
          </w:p>
          <w:p>
            <w:pPr>
              <w:spacing w:line="300" w:lineRule="exact"/>
              <w:rPr>
                <w:rFonts w:hint="eastAsia" w:ascii="Times New Roman" w:hAnsi="Times New Roman" w:eastAsia="宋体" w:cs="Times New Roman"/>
                <w:b/>
                <w:color w:val="000000" w:themeColor="text1"/>
                <w:sz w:val="21"/>
                <w:szCs w:val="21"/>
              </w:rPr>
            </w:pPr>
            <w:r>
              <w:rPr>
                <w:rFonts w:hint="eastAsia" w:ascii="Times New Roman" w:hAnsi="Times New Roman" w:eastAsia="宋体" w:cs="Times New Roman"/>
                <w:b/>
                <w:color w:val="000000" w:themeColor="text1"/>
                <w:sz w:val="21"/>
                <w:szCs w:val="21"/>
              </w:rPr>
              <w:t>结合公司的</w:t>
            </w:r>
            <w:r>
              <w:rPr>
                <w:rFonts w:hint="eastAsia" w:ascii="Times New Roman" w:hAnsi="Times New Roman" w:eastAsia="宋体" w:cs="Times New Roman"/>
                <w:b/>
                <w:color w:val="000000" w:themeColor="text1"/>
                <w:sz w:val="21"/>
                <w:szCs w:val="21"/>
                <w:lang w:eastAsia="zh-CN"/>
              </w:rPr>
              <w:t>☑</w:t>
            </w:r>
            <w:r>
              <w:rPr>
                <w:rFonts w:hint="eastAsia" w:ascii="Times New Roman" w:hAnsi="Times New Roman" w:eastAsia="宋体" w:cs="Times New Roman"/>
                <w:b/>
                <w:color w:val="000000" w:themeColor="text1"/>
                <w:sz w:val="21"/>
                <w:szCs w:val="21"/>
              </w:rPr>
              <w:t>产品/服务</w:t>
            </w:r>
            <w:r>
              <w:rPr>
                <w:rFonts w:hint="eastAsia" w:ascii="Times New Roman" w:hAnsi="Times New Roman" w:eastAsia="宋体" w:cs="Times New Roman"/>
                <w:b/>
                <w:color w:val="000000" w:themeColor="text1"/>
                <w:sz w:val="21"/>
                <w:szCs w:val="21"/>
                <w:lang w:eastAsia="zh-CN"/>
              </w:rPr>
              <w:t>☑</w:t>
            </w:r>
            <w:r>
              <w:rPr>
                <w:rFonts w:hint="eastAsia" w:ascii="Times New Roman" w:hAnsi="Times New Roman" w:eastAsia="宋体" w:cs="Times New Roman"/>
                <w:b/>
                <w:color w:val="000000" w:themeColor="text1"/>
                <w:sz w:val="21"/>
                <w:szCs w:val="21"/>
              </w:rPr>
              <w:t>环境因素</w:t>
            </w:r>
            <w:r>
              <w:rPr>
                <w:rFonts w:hint="eastAsia" w:ascii="Times New Roman" w:hAnsi="Times New Roman" w:eastAsia="宋体" w:cs="Times New Roman"/>
                <w:b/>
                <w:color w:val="000000" w:themeColor="text1"/>
                <w:sz w:val="21"/>
                <w:szCs w:val="21"/>
                <w:lang w:eastAsia="zh-CN"/>
              </w:rPr>
              <w:t>☑</w:t>
            </w:r>
            <w:r>
              <w:rPr>
                <w:rFonts w:hint="eastAsia" w:ascii="Times New Roman" w:hAnsi="Times New Roman" w:eastAsia="宋体" w:cs="Times New Roman"/>
                <w:b/>
                <w:color w:val="000000" w:themeColor="text1"/>
                <w:sz w:val="21"/>
                <w:szCs w:val="21"/>
              </w:rPr>
              <w:t>危险源，</w:t>
            </w:r>
            <w:r>
              <w:rPr>
                <w:rFonts w:hint="eastAsia" w:ascii="Times New Roman" w:hAnsi="Times New Roman" w:eastAsia="宋体" w:cs="Times New Roman"/>
                <w:b/>
                <w:color w:val="000000" w:themeColor="text1"/>
                <w:sz w:val="21"/>
                <w:szCs w:val="21"/>
                <w:lang w:eastAsia="zh-CN"/>
              </w:rPr>
              <w:t>☑</w:t>
            </w:r>
            <w:r>
              <w:rPr>
                <w:rFonts w:hint="eastAsia" w:ascii="Times New Roman" w:hAnsi="Times New Roman" w:eastAsia="宋体" w:cs="Times New Roman"/>
                <w:b/>
                <w:color w:val="000000" w:themeColor="text1"/>
                <w:sz w:val="21"/>
                <w:szCs w:val="21"/>
              </w:rPr>
              <w:t>确定□未确定法律法规要求的具体条款，</w:t>
            </w:r>
          </w:p>
          <w:p>
            <w:pPr>
              <w:spacing w:line="300" w:lineRule="exact"/>
              <w:rPr>
                <w:rFonts w:hint="eastAsia" w:ascii="Times New Roman" w:hAnsi="Times New Roman" w:eastAsia="宋体" w:cs="Times New Roman"/>
                <w:b/>
                <w:color w:val="000000" w:themeColor="text1"/>
                <w:sz w:val="21"/>
                <w:szCs w:val="21"/>
              </w:rPr>
            </w:pPr>
            <w:r>
              <w:rPr>
                <w:rFonts w:hint="eastAsia" w:ascii="Times New Roman" w:hAnsi="Times New Roman" w:eastAsia="宋体" w:cs="Times New Roman"/>
                <w:b/>
                <w:color w:val="000000" w:themeColor="text1"/>
                <w:sz w:val="21"/>
                <w:szCs w:val="21"/>
              </w:rPr>
              <w:t>法律法规的宣传方式：</w:t>
            </w:r>
            <w:r>
              <w:rPr>
                <w:rFonts w:hint="eastAsia" w:ascii="宋体" w:hAnsi="宋体" w:eastAsia="宋体" w:cs="宋体"/>
                <w:kern w:val="0"/>
                <w:sz w:val="21"/>
                <w:szCs w:val="21"/>
                <w:lang w:val="en-US" w:eastAsia="zh-CN"/>
              </w:rPr>
              <w:t>培训、开会等。</w:t>
            </w:r>
          </w:p>
          <w:p>
            <w:pPr>
              <w:spacing w:line="300" w:lineRule="exact"/>
              <w:rPr>
                <w:rFonts w:hint="eastAsia" w:ascii="Times New Roman" w:hAnsi="Times New Roman" w:eastAsia="宋体" w:cs="Times New Roman"/>
                <w:b/>
                <w:color w:val="000000" w:themeColor="text1"/>
                <w:sz w:val="21"/>
                <w:szCs w:val="21"/>
              </w:rPr>
            </w:pPr>
            <w:r>
              <w:rPr>
                <w:rFonts w:hint="eastAsia" w:ascii="Times New Roman" w:hAnsi="Times New Roman" w:eastAsia="宋体" w:cs="Times New Roman"/>
                <w:b/>
                <w:color w:val="000000" w:themeColor="text1"/>
                <w:sz w:val="21"/>
                <w:szCs w:val="21"/>
              </w:rPr>
              <w:t>法律法规要求及时更新了</w:t>
            </w:r>
          </w:p>
          <w:p>
            <w:pPr>
              <w:spacing w:line="300" w:lineRule="exact"/>
              <w:rPr>
                <w:rFonts w:hint="eastAsia" w:ascii="Times New Roman" w:hAnsi="Times New Roman" w:eastAsia="宋体" w:cs="Times New Roman"/>
                <w:b/>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5. </w:t>
            </w:r>
            <w:r>
              <w:rPr>
                <w:rFonts w:hint="eastAsia" w:ascii="宋体" w:hAnsi="宋体"/>
                <w:b/>
                <w:sz w:val="21"/>
                <w:szCs w:val="21"/>
              </w:rPr>
              <w:t>目标、方案</w:t>
            </w:r>
          </w:p>
          <w:p>
            <w:pPr>
              <w:spacing w:line="300" w:lineRule="exact"/>
              <w:rPr>
                <w:rFonts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spacing w:line="320" w:lineRule="exact"/>
              <w:ind w:firstLine="420" w:firstLineChars="200"/>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管理目标：</w:t>
            </w:r>
          </w:p>
          <w:p>
            <w:pPr>
              <w:spacing w:line="320" w:lineRule="exact"/>
              <w:ind w:firstLine="420" w:firstLineChars="200"/>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质量目标：</w:t>
            </w:r>
          </w:p>
          <w:p>
            <w:pPr>
              <w:spacing w:line="320" w:lineRule="exact"/>
              <w:ind w:firstLine="420" w:firstLineChars="200"/>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1、产品品位≥99.95%</w:t>
            </w:r>
          </w:p>
          <w:p>
            <w:pPr>
              <w:spacing w:line="320" w:lineRule="exact"/>
              <w:ind w:firstLine="420" w:firstLineChars="200"/>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2、顾客满意度95%</w:t>
            </w:r>
          </w:p>
          <w:p>
            <w:pPr>
              <w:spacing w:line="320" w:lineRule="exact"/>
              <w:ind w:firstLine="420" w:firstLineChars="200"/>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 xml:space="preserve"> 环境目标：</w:t>
            </w:r>
          </w:p>
          <w:p>
            <w:pPr>
              <w:spacing w:line="320" w:lineRule="exact"/>
              <w:ind w:firstLine="420" w:firstLineChars="200"/>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1、环境污染事故为零；</w:t>
            </w:r>
          </w:p>
          <w:p>
            <w:pPr>
              <w:spacing w:line="320" w:lineRule="exact"/>
              <w:ind w:firstLine="420" w:firstLineChars="200"/>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2、能源消耗每年降低0.5%。</w:t>
            </w:r>
          </w:p>
          <w:p>
            <w:pPr>
              <w:spacing w:line="320" w:lineRule="exact"/>
              <w:ind w:firstLine="420" w:firstLineChars="200"/>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职业健康安全目标：</w:t>
            </w:r>
          </w:p>
          <w:p>
            <w:pPr>
              <w:spacing w:line="320" w:lineRule="exact"/>
              <w:ind w:firstLine="420" w:firstLineChars="200"/>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 xml:space="preserve">1、重伤率＜1.5‰、轻伤率＜5‰； </w:t>
            </w:r>
          </w:p>
          <w:p>
            <w:pPr>
              <w:spacing w:line="320" w:lineRule="exact"/>
              <w:ind w:firstLine="420" w:firstLineChars="200"/>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2、较大火灾、泄露事故发生率为零；</w:t>
            </w:r>
          </w:p>
          <w:p>
            <w:pPr>
              <w:spacing w:line="320" w:lineRule="exact"/>
              <w:ind w:firstLine="420" w:firstLineChars="200"/>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 xml:space="preserve">3、职业病发病率为零。  </w:t>
            </w:r>
          </w:p>
          <w:p>
            <w:pPr>
              <w:spacing w:line="320" w:lineRule="exact"/>
              <w:ind w:firstLine="420" w:firstLineChars="200"/>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目标可测量，与公司管理方针一致。</w:t>
            </w:r>
          </w:p>
          <w:p>
            <w:pPr>
              <w:spacing w:line="320" w:lineRule="exact"/>
              <w:ind w:firstLine="420" w:firstLineChars="200"/>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目标与公司管理方针一致。</w:t>
            </w:r>
          </w:p>
          <w:p>
            <w:pPr>
              <w:spacing w:line="320" w:lineRule="exact"/>
              <w:ind w:firstLine="420" w:firstLineChars="200"/>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每季度由质管部按公司管理目标考核要求统计考核公司管理目标完成情况，提交管理评审会议。查到2020年上半年公司管理目标完成情况，各项目标均已达成，考核部门：质管部,审批：孙兵。</w:t>
            </w:r>
          </w:p>
          <w:p>
            <w:pPr>
              <w:spacing w:line="320" w:lineRule="exact"/>
              <w:ind w:firstLine="420" w:firstLineChars="200"/>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公司对管理体系所需的相关职能、层次和过程设定管理目标。</w:t>
            </w:r>
          </w:p>
          <w:p>
            <w:pPr>
              <w:spacing w:line="320" w:lineRule="exact"/>
              <w:ind w:firstLine="420" w:firstLineChars="200"/>
              <w:rPr>
                <w:rFonts w:ascii="宋体" w:hAnsi="宋体"/>
                <w:b/>
                <w:sz w:val="21"/>
                <w:szCs w:val="21"/>
              </w:rPr>
            </w:pPr>
            <w:r>
              <w:rPr>
                <w:rFonts w:hint="eastAsia" w:ascii="宋体" w:hAnsi="宋体" w:eastAsia="宋体" w:cs="宋体"/>
                <w:kern w:val="0"/>
                <w:sz w:val="21"/>
                <w:szCs w:val="21"/>
                <w:lang w:val="en-US" w:eastAsia="zh-CN"/>
              </w:rPr>
              <w:t>针对重要环境因素、重大危险源制订了管理方案并予以实施，基本有效，详见审核安环部该条款记录。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spacing w:line="320" w:lineRule="exact"/>
              <w:ind w:firstLine="420" w:firstLineChars="200"/>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公司的管理手册及相关管理体系文件系统的描述了公司整个管理体系内容包括：管理体系覆盖的生产、服务、过程、部门和场所等。描述了管理体系中各个过程的相互作用关系。公司对整个体系进行了策划。形成了文件化的管理手册、程序文件、三级管理文件以及所要求的记录。</w:t>
            </w:r>
          </w:p>
          <w:p>
            <w:pPr>
              <w:spacing w:line="320" w:lineRule="exact"/>
              <w:ind w:firstLine="420" w:firstLineChars="200"/>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公司编制的程序文件符合标准要求的所有程序文件，第三层次文件对体系及其相互关系在手册中做了描述，记录表单满足公司目前的质量体系运行的需要。</w:t>
            </w:r>
          </w:p>
          <w:p>
            <w:pPr>
              <w:spacing w:line="320" w:lineRule="exact"/>
              <w:ind w:firstLine="420" w:firstLineChars="200"/>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公司文件分类：一级文件：管理手册。</w:t>
            </w:r>
          </w:p>
          <w:p>
            <w:pPr>
              <w:spacing w:line="320" w:lineRule="exact"/>
              <w:ind w:firstLine="420" w:firstLineChars="200"/>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二级文件：公司编制了程序文件，包括GB/T19001-2016、GB/T24001-2016 、ISO45001：2018管理体系标准要求的程序。</w:t>
            </w:r>
          </w:p>
          <w:p>
            <w:pPr>
              <w:spacing w:line="320" w:lineRule="exact"/>
              <w:ind w:firstLine="420" w:firstLineChars="200"/>
              <w:rPr>
                <w:rFonts w:ascii="宋体" w:hAnsi="宋体"/>
                <w:b/>
                <w:sz w:val="21"/>
                <w:szCs w:val="21"/>
              </w:rPr>
            </w:pPr>
            <w:r>
              <w:rPr>
                <w:rFonts w:hint="eastAsia" w:ascii="宋体" w:hAnsi="宋体" w:eastAsia="宋体" w:cs="宋体"/>
                <w:kern w:val="0"/>
                <w:sz w:val="21"/>
                <w:szCs w:val="21"/>
                <w:lang w:val="en-US" w:eastAsia="zh-CN"/>
              </w:rPr>
              <w:t>三层次文件：制度和作业指导书，外来文件：包括产品服务国家标准，管理体系运行记录，满足公司目前的管理体系运行的需要。管理体系文件基本能保证有效性和效率的要求。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20" w:lineRule="exact"/>
              <w:ind w:firstLine="422" w:firstLineChars="200"/>
              <w:rPr>
                <w:rFonts w:hint="eastAsia" w:ascii="宋体" w:hAnsi="宋体" w:eastAsia="宋体" w:cs="宋体"/>
                <w:kern w:val="0"/>
                <w:sz w:val="21"/>
                <w:szCs w:val="21"/>
                <w:lang w:val="en-US" w:eastAsia="zh-CN"/>
              </w:rPr>
            </w:pPr>
            <w:r>
              <w:rPr>
                <w:rFonts w:hint="eastAsia" w:ascii="宋体" w:hAnsi="宋体"/>
                <w:b/>
                <w:sz w:val="21"/>
                <w:szCs w:val="21"/>
              </w:rPr>
              <w:t>人力资源的简要说明</w:t>
            </w:r>
            <w:r>
              <w:rPr>
                <w:rFonts w:ascii="宋体" w:hAnsi="宋体"/>
                <w:b/>
                <w:sz w:val="21"/>
                <w:szCs w:val="21"/>
              </w:rPr>
              <w:t>.:</w:t>
            </w:r>
            <w:r>
              <w:rPr>
                <w:rFonts w:hint="eastAsia" w:ascii="宋体" w:hAnsi="宋体" w:eastAsia="宋体" w:cs="宋体"/>
                <w:kern w:val="0"/>
                <w:sz w:val="21"/>
                <w:szCs w:val="21"/>
                <w:lang w:val="en-US" w:eastAsia="zh-CN"/>
              </w:rPr>
              <w:t>查见《人力资源控制程序》，其内容包括：目的、范围、职责、程序内容、相关文件、相关内容等对人员的认知要求、能力、意识和培训等方面的控制进行了规定。质管部根据各部门的需要配备管理体系运行所需的人员，任命内审员，均经过相关培训。目前公司共有员工约260人，21位本科，特殊工种有锅炉工、电工、焊工、起重工。各部门人员配备基本充分，能满足管理体系需求.</w:t>
            </w:r>
          </w:p>
          <w:p>
            <w:pPr>
              <w:spacing w:line="320" w:lineRule="exact"/>
              <w:ind w:firstLine="420" w:firstLineChars="200"/>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设备设施（包括信息系统）、</w:t>
            </w:r>
          </w:p>
          <w:p>
            <w:pPr>
              <w:spacing w:line="320" w:lineRule="exact"/>
              <w:ind w:firstLine="420" w:firstLineChars="200"/>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显示配置的主要设备有破碎机、除尘器、输送带、起重机、球磨机、自磨机、浓密机、过滤罐、酸雾吸收塔、电积滤液槽、锅炉、电梯、车辆、房间、办公桌椅、空调、打复印机、传真机等。</w:t>
            </w:r>
          </w:p>
          <w:p>
            <w:pPr>
              <w:spacing w:line="320" w:lineRule="exact"/>
              <w:ind w:firstLine="420" w:firstLineChars="200"/>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有设备维护保养要求，明确了维护保养服务、周期等。</w:t>
            </w:r>
          </w:p>
          <w:p>
            <w:pPr>
              <w:spacing w:line="320" w:lineRule="exact"/>
              <w:ind w:firstLine="420" w:firstLineChars="200"/>
              <w:rPr>
                <w:rFonts w:ascii="宋体" w:hAnsi="宋体"/>
                <w:b/>
                <w:sz w:val="21"/>
                <w:szCs w:val="21"/>
              </w:rPr>
            </w:pPr>
            <w:r>
              <w:rPr>
                <w:rFonts w:hint="eastAsia" w:ascii="宋体" w:hAnsi="宋体" w:eastAsia="宋体" w:cs="宋体"/>
                <w:kern w:val="0"/>
                <w:sz w:val="21"/>
                <w:szCs w:val="21"/>
                <w:lang w:val="en-US" w:eastAsia="zh-CN"/>
              </w:rPr>
              <w:t>特种设备有锅炉、起重设备、电梯等，起重设备21台，抽查3部；电梯共6部抽查3部；锅炉共5台抽查3台抽到样品均有检验（检定）报告，详见附件。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320" w:lineRule="exact"/>
              <w:ind w:firstLine="422" w:firstLineChars="200"/>
              <w:rPr>
                <w:rFonts w:hint="eastAsia" w:ascii="宋体" w:hAnsi="宋体" w:eastAsia="宋体" w:cs="宋体"/>
                <w:kern w:val="0"/>
                <w:sz w:val="21"/>
                <w:szCs w:val="21"/>
                <w:lang w:val="en-US" w:eastAsia="zh-CN"/>
              </w:rPr>
            </w:pPr>
            <w:r>
              <w:rPr>
                <w:rFonts w:hint="eastAsia" w:ascii="宋体" w:hAnsi="宋体"/>
                <w:b/>
                <w:sz w:val="21"/>
                <w:szCs w:val="21"/>
              </w:rPr>
              <w:t>设备设施（包括信息系统）</w:t>
            </w:r>
            <w:r>
              <w:rPr>
                <w:rFonts w:hint="eastAsia" w:ascii="宋体" w:hAnsi="宋体"/>
                <w:b/>
                <w:sz w:val="21"/>
                <w:szCs w:val="21"/>
                <w:lang w:eastAsia="zh-CN"/>
              </w:rPr>
              <w:t>：</w:t>
            </w:r>
            <w:r>
              <w:rPr>
                <w:rFonts w:hint="eastAsia" w:ascii="宋体" w:hAnsi="宋体" w:eastAsia="宋体" w:cs="宋体"/>
                <w:kern w:val="0"/>
                <w:sz w:val="21"/>
                <w:szCs w:val="21"/>
                <w:lang w:val="en-US" w:eastAsia="zh-CN"/>
              </w:rPr>
              <w:t>公司建筑为自建，设施主要是办公资源和服务设备（详见Q7.1.3），房屋、厂房、办公区干净卫生，生产办公区域物品放置较规范。生产特殊工作环境要求一定的洁净度和适宜的温湿度。</w:t>
            </w:r>
          </w:p>
          <w:p>
            <w:pPr>
              <w:spacing w:line="320" w:lineRule="exact"/>
              <w:ind w:firstLine="420" w:firstLineChars="200"/>
              <w:rPr>
                <w:rFonts w:ascii="宋体" w:hAnsi="宋体"/>
                <w:b/>
                <w:sz w:val="21"/>
                <w:szCs w:val="21"/>
              </w:rPr>
            </w:pPr>
            <w:r>
              <w:rPr>
                <w:rFonts w:hint="eastAsia" w:ascii="宋体" w:hAnsi="宋体" w:eastAsia="宋体" w:cs="宋体"/>
                <w:kern w:val="0"/>
                <w:sz w:val="21"/>
                <w:szCs w:val="21"/>
                <w:lang w:val="en-US" w:eastAsia="zh-CN"/>
              </w:rPr>
              <w:t>公司的工作环境基本适宜目前公司管理体系运行需要。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320" w:lineRule="exact"/>
              <w:ind w:firstLine="422" w:firstLineChars="200"/>
              <w:rPr>
                <w:rFonts w:hint="eastAsia" w:ascii="宋体" w:hAnsi="宋体" w:eastAsia="宋体" w:cs="宋体"/>
                <w:kern w:val="0"/>
                <w:sz w:val="21"/>
                <w:szCs w:val="21"/>
                <w:lang w:val="en-US" w:eastAsia="zh-CN"/>
              </w:rPr>
            </w:pPr>
            <w:r>
              <w:rPr>
                <w:rFonts w:hint="eastAsia" w:ascii="宋体" w:hAnsi="宋体"/>
                <w:b/>
                <w:sz w:val="21"/>
                <w:szCs w:val="21"/>
              </w:rPr>
              <w:t>过程运行环境</w:t>
            </w:r>
            <w:r>
              <w:rPr>
                <w:rFonts w:hint="eastAsia" w:ascii="宋体" w:hAnsi="宋体"/>
                <w:b/>
                <w:sz w:val="21"/>
                <w:szCs w:val="21"/>
                <w:lang w:eastAsia="zh-CN"/>
              </w:rPr>
              <w:t>：</w:t>
            </w:r>
            <w:r>
              <w:rPr>
                <w:rFonts w:hint="eastAsia" w:ascii="宋体" w:hAnsi="宋体" w:eastAsia="宋体" w:cs="宋体"/>
                <w:kern w:val="0"/>
                <w:sz w:val="21"/>
                <w:szCs w:val="21"/>
                <w:lang w:val="en-US" w:eastAsia="zh-CN"/>
              </w:rPr>
              <w:t>公司建筑为自建，设施主要是办公资源和服务设备（详见Q7.1.3），房屋、厂房、办公区干净卫生，生产办公区域物品放置较规范。生产特殊工作环境要求一定的洁净度和适宜的温湿度。</w:t>
            </w:r>
          </w:p>
          <w:p>
            <w:pPr>
              <w:spacing w:line="320" w:lineRule="exact"/>
              <w:ind w:firstLine="420" w:firstLineChars="200"/>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公司的工作环境基本适宜目前公司管理体系运行需要。</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eastAsia="宋体"/>
                <w:b/>
                <w:sz w:val="21"/>
                <w:szCs w:val="21"/>
                <w:lang w:eastAsia="zh-CN"/>
              </w:rPr>
            </w:pPr>
            <w:r>
              <w:rPr>
                <w:rFonts w:hint="eastAsia" w:ascii="宋体" w:hAnsi="宋体"/>
                <w:b/>
                <w:sz w:val="21"/>
                <w:szCs w:val="21"/>
              </w:rPr>
              <w:t>监视和测量资源</w:t>
            </w:r>
            <w:r>
              <w:rPr>
                <w:rFonts w:hint="eastAsia" w:ascii="宋体" w:hAnsi="宋体"/>
                <w:b/>
                <w:sz w:val="21"/>
                <w:szCs w:val="21"/>
                <w:lang w:eastAsia="zh-CN"/>
              </w:rPr>
              <w:t>：</w:t>
            </w:r>
            <w:r>
              <w:rPr>
                <w:rFonts w:hint="eastAsia" w:ascii="宋体" w:hAnsi="宋体" w:eastAsia="宋体" w:cs="宋体"/>
                <w:kern w:val="0"/>
                <w:sz w:val="21"/>
                <w:szCs w:val="21"/>
                <w:lang w:val="en-US" w:eastAsia="zh-CN"/>
              </w:rPr>
              <w:t>公司提供《监视和测量设备台帐》，主要有电子天平、地磅等。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320" w:lineRule="exact"/>
              <w:ind w:firstLine="422" w:firstLineChars="200"/>
              <w:rPr>
                <w:rFonts w:hint="eastAsia" w:ascii="宋体" w:hAnsi="宋体" w:eastAsia="宋体" w:cs="宋体"/>
                <w:kern w:val="0"/>
                <w:sz w:val="21"/>
                <w:szCs w:val="21"/>
                <w:lang w:val="en-US" w:eastAsia="zh-CN"/>
              </w:rPr>
            </w:pPr>
            <w:r>
              <w:rPr>
                <w:rFonts w:hint="eastAsia" w:ascii="宋体" w:hAnsi="宋体"/>
                <w:b/>
                <w:sz w:val="21"/>
                <w:szCs w:val="21"/>
              </w:rPr>
              <w:t>知识</w:t>
            </w:r>
            <w:r>
              <w:rPr>
                <w:rFonts w:hint="eastAsia" w:ascii="宋体" w:hAnsi="宋体"/>
                <w:b/>
                <w:sz w:val="21"/>
                <w:szCs w:val="21"/>
                <w:lang w:eastAsia="zh-CN"/>
              </w:rPr>
              <w:t>：</w:t>
            </w:r>
            <w:r>
              <w:rPr>
                <w:rFonts w:hint="eastAsia" w:ascii="宋体" w:hAnsi="宋体" w:eastAsia="宋体" w:cs="宋体"/>
                <w:kern w:val="0"/>
                <w:sz w:val="21"/>
                <w:szCs w:val="21"/>
                <w:lang w:val="en-US" w:eastAsia="zh-CN"/>
              </w:rPr>
              <w:t>公司确定运行过程所需的知识。</w:t>
            </w:r>
          </w:p>
          <w:p>
            <w:pPr>
              <w:spacing w:line="320" w:lineRule="exact"/>
              <w:ind w:firstLine="420" w:firstLineChars="200"/>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内部来源包括：公司运作准则（管理手册、程序文件、管理制度、作业记录等）管理过程控制失败和成功项目吸取的经验教训和改进的结果等；</w:t>
            </w:r>
          </w:p>
          <w:p>
            <w:pPr>
              <w:spacing w:line="320" w:lineRule="exact"/>
              <w:ind w:firstLine="420" w:firstLineChars="200"/>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外部来源包括：外来资料（如顾客反馈的信息、质量、技术规范）、法律法规、市场信息等。</w:t>
            </w:r>
          </w:p>
          <w:p>
            <w:pPr>
              <w:spacing w:line="320" w:lineRule="exact"/>
              <w:ind w:firstLine="420" w:firstLineChars="200"/>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对知识的保持采取文件资料的保存和信息系统存储方式，在公司内部通过传递、交流、培训等方式获取。</w:t>
            </w:r>
          </w:p>
          <w:p>
            <w:pPr>
              <w:spacing w:line="320" w:lineRule="exact"/>
              <w:ind w:firstLine="420" w:firstLineChars="200"/>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为获取更多必要的知识采用工作经验总结、顾客意见的采集，行业领先者的最佳实践调查等。主要是从顾客满意度调查收集的顾客抱怨、反馈和工作经验等知识。</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环保设施：</w:t>
            </w:r>
            <w:r>
              <w:rPr>
                <w:rFonts w:hint="eastAsia" w:ascii="宋体" w:hAnsi="宋体" w:eastAsia="宋体" w:cs="宋体"/>
                <w:kern w:val="0"/>
                <w:sz w:val="21"/>
                <w:szCs w:val="21"/>
                <w:lang w:val="en-US" w:eastAsia="zh-CN"/>
              </w:rPr>
              <w:t>除尘器、排气筒、空调、排风扇、消防设备。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default" w:ascii="宋体" w:hAnsi="宋体" w:eastAsia="宋体"/>
                <w:b/>
                <w:sz w:val="21"/>
                <w:szCs w:val="21"/>
                <w:lang w:val="en-US" w:eastAsia="zh-CN"/>
              </w:rPr>
            </w:pPr>
            <w:r>
              <w:rPr>
                <w:rFonts w:hint="eastAsia" w:ascii="宋体" w:hAnsi="宋体"/>
                <w:b/>
                <w:sz w:val="21"/>
                <w:szCs w:val="21"/>
              </w:rPr>
              <w:t>职业健康安全设施：</w:t>
            </w:r>
            <w:r>
              <w:rPr>
                <w:rFonts w:hint="eastAsia" w:ascii="宋体" w:hAnsi="宋体"/>
                <w:b w:val="0"/>
                <w:bCs/>
                <w:sz w:val="21"/>
                <w:szCs w:val="21"/>
                <w:lang w:val="en-US" w:eastAsia="zh-CN"/>
              </w:rPr>
              <w:t>工作服、防护服等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3"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240" w:lineRule="exact"/>
              <w:rPr>
                <w:rFonts w:hint="eastAsia" w:ascii="宋体" w:hAnsi="宋体" w:eastAsia="宋体" w:cs="Times New Roman"/>
                <w:b w:val="0"/>
                <w:bCs/>
                <w:sz w:val="21"/>
                <w:szCs w:val="21"/>
                <w:lang w:val="en-US" w:eastAsia="zh-CN"/>
              </w:rPr>
            </w:pPr>
            <w:r>
              <w:rPr>
                <w:rFonts w:hint="eastAsia" w:ascii="宋体" w:hAnsi="宋体"/>
                <w:b/>
                <w:sz w:val="21"/>
                <w:szCs w:val="21"/>
              </w:rPr>
              <w:t>（包括针对组织宗旨，制定相关管理方针政策、确保方针为员工理解并在运营中实施，监视方针的实施并评审方针的适宜性）</w:t>
            </w:r>
            <w:r>
              <w:rPr>
                <w:rFonts w:hint="eastAsia" w:ascii="宋体" w:hAnsi="宋体"/>
                <w:b/>
                <w:sz w:val="21"/>
                <w:szCs w:val="21"/>
                <w:lang w:eastAsia="zh-CN"/>
              </w:rPr>
              <w:t>：</w:t>
            </w:r>
            <w:r>
              <w:rPr>
                <w:rFonts w:hint="eastAsia" w:ascii="宋体" w:hAnsi="宋体" w:eastAsia="宋体" w:cs="Times New Roman"/>
                <w:b w:val="0"/>
                <w:bCs/>
                <w:sz w:val="21"/>
                <w:szCs w:val="21"/>
                <w:lang w:val="en-US" w:eastAsia="zh-CN"/>
              </w:rPr>
              <w:t>该公司管理方针为：“精益求精，顾客满意；节能降耗，保护环境，健康安全，持续改进。”。</w:t>
            </w:r>
          </w:p>
          <w:p>
            <w:pPr>
              <w:spacing w:line="240" w:lineRule="exact"/>
              <w:rPr>
                <w:rFonts w:hint="eastAsia" w:ascii="宋体" w:hAnsi="宋体" w:eastAsia="宋体" w:cs="Times New Roman"/>
                <w:b w:val="0"/>
                <w:bCs/>
                <w:sz w:val="21"/>
                <w:szCs w:val="21"/>
                <w:lang w:val="en-US" w:eastAsia="zh-CN"/>
              </w:rPr>
            </w:pPr>
            <w:r>
              <w:rPr>
                <w:rFonts w:hint="eastAsia" w:ascii="宋体" w:hAnsi="宋体" w:eastAsia="宋体" w:cs="Times New Roman"/>
                <w:b w:val="0"/>
                <w:bCs/>
                <w:sz w:val="21"/>
                <w:szCs w:val="21"/>
                <w:lang w:val="en-US" w:eastAsia="zh-CN"/>
              </w:rPr>
              <w:t>公司管理方针与企业宗旨相一致。</w:t>
            </w:r>
          </w:p>
          <w:p>
            <w:pPr>
              <w:spacing w:line="240" w:lineRule="exact"/>
              <w:rPr>
                <w:rFonts w:hint="eastAsia" w:ascii="宋体" w:hAnsi="宋体" w:eastAsia="宋体"/>
                <w:b/>
                <w:sz w:val="21"/>
                <w:szCs w:val="21"/>
                <w:lang w:eastAsia="zh-CN"/>
              </w:rPr>
            </w:pPr>
            <w:r>
              <w:rPr>
                <w:rFonts w:hint="eastAsia" w:ascii="宋体" w:hAnsi="宋体" w:eastAsia="宋体" w:cs="Times New Roman"/>
                <w:b w:val="0"/>
                <w:bCs/>
                <w:sz w:val="21"/>
                <w:szCs w:val="21"/>
                <w:lang w:val="en-US" w:eastAsia="zh-CN"/>
              </w:rPr>
              <w:t>以上管理方针通过文件、培训等形式将公司管理方针传达给所有为公司工作或代表公司的人员，相关方也可通过质管部获取公司管理方针。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val="0"/>
                <w:bCs/>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楷体_GB2312" w:eastAsia="楷体_GB2312"/>
                <w:b w:val="0"/>
                <w:bCs/>
                <w:color w:val="000000" w:themeColor="text1"/>
                <w:sz w:val="20"/>
                <w:szCs w:val="20"/>
              </w:rPr>
              <w:t>培训、开会、通讯等</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w:t>
            </w:r>
            <w:r>
              <w:rPr>
                <w:rFonts w:hint="eastAsia" w:ascii="楷体_GB2312" w:eastAsia="楷体_GB2312"/>
                <w:b w:val="0"/>
                <w:bCs/>
                <w:color w:val="000000" w:themeColor="text1"/>
                <w:sz w:val="20"/>
                <w:szCs w:val="20"/>
              </w:rPr>
              <w:t>较好</w:t>
            </w:r>
          </w:p>
          <w:p>
            <w:pPr>
              <w:spacing w:line="240" w:lineRule="exact"/>
              <w:rPr>
                <w:rFonts w:ascii="楷体_GB2312" w:eastAsia="楷体_GB2312"/>
                <w:b/>
                <w:color w:val="000000" w:themeColor="text1"/>
                <w:sz w:val="20"/>
                <w:szCs w:val="20"/>
              </w:rPr>
            </w:pPr>
          </w:p>
          <w:p>
            <w:pPr>
              <w:spacing w:line="240" w:lineRule="exact"/>
              <w:rPr>
                <w:rFonts w:hint="default" w:ascii="楷体_GB2312" w:eastAsia="楷体_GB2312"/>
                <w:b/>
                <w:color w:val="000000" w:themeColor="text1"/>
                <w:sz w:val="20"/>
                <w:szCs w:val="20"/>
                <w:lang w:val="en-US" w:eastAsia="zh-CN"/>
              </w:rPr>
            </w:pPr>
            <w:r>
              <w:rPr>
                <w:rFonts w:hint="eastAsia" w:ascii="楷体_GB2312" w:eastAsia="楷体_GB2312"/>
                <w:b/>
                <w:color w:val="000000" w:themeColor="text1"/>
                <w:sz w:val="20"/>
                <w:szCs w:val="20"/>
              </w:rPr>
              <w:t>组织对外联络，关注顾客的感受情况（QMS）：</w:t>
            </w:r>
            <w:r>
              <w:rPr>
                <w:rFonts w:hint="eastAsia" w:ascii="楷体_GB2312" w:eastAsia="楷体_GB2312"/>
                <w:b w:val="0"/>
                <w:bCs/>
                <w:color w:val="000000" w:themeColor="text1"/>
                <w:sz w:val="20"/>
                <w:szCs w:val="20"/>
                <w:lang w:val="en-US" w:eastAsia="zh-CN"/>
              </w:rPr>
              <w:t>顾客满意度97%。</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val="0"/>
                <w:bCs/>
                <w:color w:val="000000" w:themeColor="text1"/>
                <w:sz w:val="20"/>
                <w:szCs w:val="20"/>
              </w:rPr>
            </w:pPr>
            <w:r>
              <w:rPr>
                <w:rFonts w:hint="eastAsia" w:ascii="楷体_GB2312" w:eastAsia="楷体_GB2312"/>
                <w:b/>
                <w:color w:val="000000" w:themeColor="text1"/>
                <w:sz w:val="20"/>
                <w:szCs w:val="20"/>
              </w:rPr>
              <w:t>外部信息的接收、成文并答复的情况（E、S填写）：</w:t>
            </w:r>
            <w:r>
              <w:rPr>
                <w:rFonts w:hint="eastAsia" w:ascii="楷体_GB2312" w:eastAsia="楷体_GB2312"/>
                <w:b w:val="0"/>
                <w:bCs/>
                <w:color w:val="000000" w:themeColor="text1"/>
                <w:sz w:val="20"/>
                <w:szCs w:val="20"/>
              </w:rPr>
              <w:t>开会、学习文件、通讯等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r>
              <w:rPr>
                <w:rFonts w:hint="eastAsia" w:ascii="楷体_GB2312" w:eastAsia="楷体_GB2312"/>
                <w:b w:val="0"/>
                <w:bCs/>
                <w:color w:val="000000" w:themeColor="text1"/>
                <w:szCs w:val="21"/>
              </w:rPr>
              <w:t>通讯或告知书</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OHSMS事务代表协商和交流的情况（OHSMS填写）：</w:t>
            </w:r>
            <w:r>
              <w:rPr>
                <w:rFonts w:hint="eastAsia" w:ascii="楷体_GB2312" w:eastAsia="楷体_GB2312"/>
                <w:b w:val="0"/>
                <w:bCs/>
                <w:color w:val="000000" w:themeColor="text1"/>
                <w:szCs w:val="21"/>
              </w:rPr>
              <w:t>通讯或告知书</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Cs w:val="21"/>
              </w:rPr>
            </w:pPr>
          </w:p>
          <w:p>
            <w:pPr>
              <w:spacing w:line="240" w:lineRule="exact"/>
              <w:rPr>
                <w:rFonts w:ascii="宋体" w:hAnsi="宋体"/>
                <w:b/>
                <w:sz w:val="21"/>
                <w:szCs w:val="21"/>
              </w:rPr>
            </w:pPr>
            <w:r>
              <w:rPr>
                <w:rFonts w:hint="eastAsia" w:ascii="楷体_GB2312" w:eastAsia="楷体_GB2312"/>
                <w:b/>
                <w:color w:val="000000" w:themeColor="text1"/>
                <w:szCs w:val="21"/>
              </w:rPr>
              <w:t>与相关方协商的情况（OHSMS填写）：</w:t>
            </w:r>
            <w:r>
              <w:rPr>
                <w:rFonts w:hint="eastAsia" w:ascii="楷体_GB2312" w:eastAsia="楷体_GB2312"/>
                <w:b w:val="0"/>
                <w:bCs/>
                <w:color w:val="000000" w:themeColor="text1"/>
                <w:szCs w:val="21"/>
              </w:rPr>
              <w:t>通讯或告知书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rPr>
                <w:rFonts w:hint="eastAsia"/>
                <w:sz w:val="21"/>
                <w:szCs w:val="21"/>
                <w:lang w:eastAsia="zh-CN"/>
              </w:rPr>
            </w:pPr>
            <w:r>
              <w:rPr>
                <w:rFonts w:hint="eastAsia"/>
                <w:sz w:val="21"/>
                <w:szCs w:val="21"/>
                <w:lang w:val="en-US" w:eastAsia="zh-CN"/>
              </w:rPr>
              <w:t>1、</w:t>
            </w:r>
            <w:r>
              <w:rPr>
                <w:rFonts w:hint="eastAsia"/>
                <w:sz w:val="21"/>
                <w:szCs w:val="21"/>
              </w:rPr>
              <w:t>铜矿及其伴生金属矿</w:t>
            </w:r>
            <w:r>
              <w:rPr>
                <w:rFonts w:hint="eastAsia"/>
                <w:sz w:val="21"/>
                <w:szCs w:val="21"/>
                <w:lang w:eastAsia="zh-CN"/>
              </w:rPr>
              <w:t>（</w:t>
            </w:r>
            <w:r>
              <w:rPr>
                <w:rFonts w:hint="eastAsia"/>
                <w:sz w:val="21"/>
                <w:szCs w:val="21"/>
                <w:lang w:val="en-US" w:eastAsia="zh-CN"/>
              </w:rPr>
              <w:t>伴生银</w:t>
            </w:r>
            <w:r>
              <w:rPr>
                <w:rFonts w:hint="eastAsia"/>
                <w:sz w:val="21"/>
                <w:szCs w:val="21"/>
                <w:lang w:eastAsia="zh-CN"/>
              </w:rPr>
              <w:t>）：</w:t>
            </w:r>
          </w:p>
          <w:p>
            <w:pPr>
              <w:rPr>
                <w:rFonts w:hint="default"/>
                <w:sz w:val="21"/>
                <w:szCs w:val="21"/>
                <w:lang w:val="en-US" w:eastAsia="zh-CN"/>
              </w:rPr>
            </w:pPr>
            <w:r>
              <w:rPr>
                <w:rFonts w:hint="eastAsia" w:ascii="Arial" w:hAnsi="Arial" w:cs="Arial"/>
                <w:sz w:val="21"/>
                <w:szCs w:val="21"/>
                <w:lang w:val="en-US" w:eastAsia="zh-CN"/>
              </w:rPr>
              <w:t>硫化矿石</w:t>
            </w:r>
            <w:r>
              <w:rPr>
                <w:rFonts w:hint="default" w:ascii="Arial" w:hAnsi="Arial" w:cs="Arial"/>
                <w:sz w:val="21"/>
                <w:szCs w:val="21"/>
                <w:lang w:eastAsia="zh-CN"/>
              </w:rPr>
              <w:t>→</w:t>
            </w:r>
            <w:r>
              <w:rPr>
                <w:rFonts w:hint="eastAsia" w:ascii="Arial" w:hAnsi="Arial" w:cs="Arial"/>
                <w:sz w:val="21"/>
                <w:szCs w:val="21"/>
                <w:lang w:val="en-US" w:eastAsia="zh-CN"/>
              </w:rPr>
              <w:t>破碎</w:t>
            </w:r>
            <w:r>
              <w:rPr>
                <w:rFonts w:hint="default" w:ascii="Arial" w:hAnsi="Arial" w:cs="Arial"/>
                <w:sz w:val="21"/>
                <w:szCs w:val="21"/>
                <w:lang w:eastAsia="zh-CN"/>
              </w:rPr>
              <w:t>→</w:t>
            </w:r>
            <w:r>
              <w:rPr>
                <w:rFonts w:hint="eastAsia" w:ascii="Arial" w:hAnsi="Arial" w:cs="Arial"/>
                <w:sz w:val="21"/>
                <w:szCs w:val="21"/>
                <w:highlight w:val="none"/>
                <w:lang w:val="en-US" w:eastAsia="zh-CN"/>
              </w:rPr>
              <w:t>选矿（磨矿、浮选、脱水）</w:t>
            </w:r>
            <w:r>
              <w:rPr>
                <w:rFonts w:hint="default" w:ascii="Arial" w:hAnsi="Arial" w:cs="Arial"/>
                <w:sz w:val="21"/>
                <w:szCs w:val="21"/>
                <w:lang w:eastAsia="zh-CN"/>
              </w:rPr>
              <w:t>→</w:t>
            </w:r>
            <w:r>
              <w:rPr>
                <w:rFonts w:hint="eastAsia" w:ascii="Arial" w:hAnsi="Arial" w:cs="Arial"/>
                <w:sz w:val="21"/>
                <w:szCs w:val="21"/>
                <w:lang w:val="en-US" w:eastAsia="zh-CN"/>
              </w:rPr>
              <w:t>铜矿/</w:t>
            </w:r>
            <w:r>
              <w:rPr>
                <w:rFonts w:hint="eastAsia"/>
                <w:sz w:val="21"/>
                <w:szCs w:val="21"/>
              </w:rPr>
              <w:t>及其伴生金属矿</w:t>
            </w:r>
            <w:r>
              <w:rPr>
                <w:rFonts w:hint="eastAsia"/>
                <w:sz w:val="21"/>
                <w:szCs w:val="21"/>
                <w:lang w:eastAsia="zh-CN"/>
              </w:rPr>
              <w:t>（</w:t>
            </w:r>
            <w:r>
              <w:rPr>
                <w:rFonts w:hint="eastAsia"/>
                <w:sz w:val="21"/>
                <w:szCs w:val="21"/>
                <w:lang w:val="en-US" w:eastAsia="zh-CN"/>
              </w:rPr>
              <w:t>伴生银</w:t>
            </w:r>
            <w:r>
              <w:rPr>
                <w:rFonts w:hint="eastAsia"/>
                <w:sz w:val="21"/>
                <w:szCs w:val="21"/>
                <w:lang w:eastAsia="zh-CN"/>
              </w:rPr>
              <w:t>）</w:t>
            </w:r>
            <w:r>
              <w:rPr>
                <w:rFonts w:hint="eastAsia"/>
                <w:sz w:val="21"/>
                <w:szCs w:val="21"/>
                <w:lang w:val="en-US" w:eastAsia="zh-CN"/>
              </w:rPr>
              <w:t xml:space="preserve">                               </w:t>
            </w:r>
            <w:r>
              <w:rPr>
                <w:rFonts w:hint="eastAsia" w:ascii="Arial" w:hAnsi="Arial" w:cs="Arial"/>
                <w:sz w:val="21"/>
                <w:szCs w:val="21"/>
                <w:lang w:val="en-US" w:eastAsia="zh-CN"/>
              </w:rPr>
              <w:t xml:space="preserve">                                  </w:t>
            </w:r>
          </w:p>
          <w:p>
            <w:pPr>
              <w:rPr>
                <w:rFonts w:hint="eastAsia"/>
                <w:sz w:val="21"/>
                <w:szCs w:val="21"/>
                <w:lang w:val="en-US" w:eastAsia="zh-CN"/>
              </w:rPr>
            </w:pPr>
            <w:r>
              <w:rPr>
                <w:rFonts w:hint="eastAsia"/>
                <w:sz w:val="21"/>
                <w:szCs w:val="21"/>
                <w:lang w:val="en-US" w:eastAsia="zh-CN"/>
              </w:rPr>
              <w:t xml:space="preserve">                                  </w:t>
            </w:r>
            <w:r>
              <w:rPr>
                <w:rFonts w:hint="default" w:ascii="Arial" w:hAnsi="Arial" w:cs="Arial"/>
                <w:sz w:val="21"/>
                <w:szCs w:val="21"/>
                <w:lang w:val="en-US" w:eastAsia="zh-CN"/>
              </w:rPr>
              <w:t>↓</w:t>
            </w:r>
          </w:p>
          <w:p>
            <w:pPr>
              <w:ind w:firstLine="3360" w:firstLineChars="1600"/>
              <w:rPr>
                <w:rFonts w:hint="eastAsia"/>
                <w:sz w:val="21"/>
                <w:szCs w:val="21"/>
                <w:lang w:val="en-US" w:eastAsia="zh-CN"/>
              </w:rPr>
            </w:pPr>
            <w:r>
              <w:rPr>
                <w:rFonts w:hint="eastAsia"/>
                <w:sz w:val="21"/>
                <w:szCs w:val="21"/>
                <w:lang w:val="en-US" w:eastAsia="zh-CN"/>
              </w:rPr>
              <w:t xml:space="preserve"> 中和</w:t>
            </w:r>
            <w:r>
              <w:rPr>
                <w:rFonts w:hint="default" w:ascii="Arial" w:hAnsi="Arial" w:cs="Arial"/>
                <w:sz w:val="21"/>
                <w:szCs w:val="21"/>
                <w:lang w:eastAsia="zh-CN"/>
              </w:rPr>
              <w:t>→</w:t>
            </w:r>
            <w:r>
              <w:rPr>
                <w:rFonts w:hint="eastAsia" w:ascii="Arial" w:hAnsi="Arial" w:cs="Arial"/>
                <w:sz w:val="21"/>
                <w:szCs w:val="21"/>
                <w:lang w:val="en-US" w:eastAsia="zh-CN"/>
              </w:rPr>
              <w:t>尾矿</w:t>
            </w:r>
          </w:p>
          <w:p>
            <w:pPr>
              <w:rPr>
                <w:rFonts w:hint="eastAsia" w:ascii="Arial" w:hAnsi="Arial" w:cs="Arial"/>
                <w:sz w:val="21"/>
                <w:szCs w:val="21"/>
                <w:highlight w:val="none"/>
                <w:lang w:val="en-US" w:eastAsia="zh-CN"/>
              </w:rPr>
            </w:pPr>
            <w:r>
              <w:rPr>
                <w:rFonts w:hint="eastAsia"/>
                <w:sz w:val="21"/>
                <w:szCs w:val="21"/>
                <w:lang w:val="en-US" w:eastAsia="zh-CN"/>
              </w:rPr>
              <w:t>关键工序：</w:t>
            </w:r>
            <w:r>
              <w:rPr>
                <w:rFonts w:hint="eastAsia" w:ascii="Arial" w:hAnsi="Arial" w:cs="Arial"/>
                <w:sz w:val="21"/>
                <w:szCs w:val="21"/>
                <w:highlight w:val="none"/>
                <w:lang w:val="en-US" w:eastAsia="zh-CN"/>
              </w:rPr>
              <w:t>选矿（磨矿、浮选、脱水）  特殊工序：无</w:t>
            </w:r>
          </w:p>
          <w:p>
            <w:pPr>
              <w:rPr>
                <w:rFonts w:hint="eastAsia" w:ascii="Arial" w:hAnsi="Arial" w:cs="Arial"/>
                <w:sz w:val="21"/>
                <w:szCs w:val="21"/>
                <w:highlight w:val="none"/>
                <w:lang w:val="en-US" w:eastAsia="zh-CN"/>
              </w:rPr>
            </w:pPr>
          </w:p>
          <w:p>
            <w:pPr>
              <w:numPr>
                <w:ilvl w:val="0"/>
                <w:numId w:val="1"/>
              </w:numPr>
              <w:rPr>
                <w:rFonts w:hint="eastAsia"/>
                <w:sz w:val="21"/>
                <w:szCs w:val="21"/>
                <w:lang w:val="en-US" w:eastAsia="zh-CN"/>
              </w:rPr>
            </w:pPr>
            <w:r>
              <w:rPr>
                <w:rFonts w:hint="eastAsia"/>
                <w:sz w:val="21"/>
                <w:szCs w:val="21"/>
              </w:rPr>
              <w:t>铜矿</w:t>
            </w:r>
            <w:r>
              <w:rPr>
                <w:rFonts w:hint="eastAsia"/>
                <w:sz w:val="21"/>
                <w:szCs w:val="21"/>
                <w:lang w:val="en-US" w:eastAsia="zh-CN"/>
              </w:rPr>
              <w:t>冶炼</w:t>
            </w:r>
            <w:r>
              <w:rPr>
                <w:rFonts w:hint="eastAsia"/>
                <w:sz w:val="21"/>
                <w:szCs w:val="21"/>
              </w:rPr>
              <w:t>（</w:t>
            </w:r>
            <w:r>
              <w:rPr>
                <w:rFonts w:hint="eastAsia"/>
                <w:sz w:val="21"/>
                <w:szCs w:val="21"/>
                <w:lang w:val="en-US" w:eastAsia="zh-CN"/>
              </w:rPr>
              <w:t>阴极铜</w:t>
            </w:r>
            <w:r>
              <w:rPr>
                <w:rFonts w:hint="eastAsia"/>
                <w:sz w:val="21"/>
                <w:szCs w:val="21"/>
              </w:rPr>
              <w:t>）</w:t>
            </w:r>
            <w:r>
              <w:rPr>
                <w:rFonts w:hint="eastAsia"/>
                <w:sz w:val="21"/>
                <w:szCs w:val="21"/>
                <w:lang w:val="en-US" w:eastAsia="zh-CN"/>
              </w:rPr>
              <w:t>：</w:t>
            </w:r>
          </w:p>
          <w:p>
            <w:pPr>
              <w:numPr>
                <w:ilvl w:val="0"/>
                <w:numId w:val="0"/>
              </w:numPr>
              <w:rPr>
                <w:rFonts w:hint="eastAsia"/>
                <w:sz w:val="21"/>
                <w:szCs w:val="21"/>
                <w:lang w:val="en-US" w:eastAsia="zh-CN"/>
              </w:rPr>
            </w:pPr>
            <w:r>
              <w:rPr>
                <w:rFonts w:hint="eastAsia"/>
                <w:sz w:val="21"/>
                <w:szCs w:val="21"/>
                <w:lang w:val="en-US" w:eastAsia="zh-CN"/>
              </w:rPr>
              <w:t>氧化矿石</w:t>
            </w:r>
            <w:r>
              <w:rPr>
                <w:rFonts w:hint="default"/>
                <w:sz w:val="21"/>
                <w:szCs w:val="21"/>
                <w:lang w:val="en-US" w:eastAsia="zh-CN"/>
              </w:rPr>
              <w:t>→</w:t>
            </w:r>
            <w:r>
              <w:rPr>
                <w:rFonts w:hint="eastAsia"/>
                <w:sz w:val="21"/>
                <w:szCs w:val="21"/>
                <w:lang w:val="en-US" w:eastAsia="zh-CN"/>
              </w:rPr>
              <w:t>破碎磨矿</w:t>
            </w:r>
            <w:r>
              <w:rPr>
                <w:rFonts w:hint="default"/>
                <w:sz w:val="21"/>
                <w:szCs w:val="21"/>
                <w:lang w:val="en-US" w:eastAsia="zh-CN"/>
              </w:rPr>
              <w:t>→</w:t>
            </w:r>
            <w:r>
              <w:rPr>
                <w:rFonts w:hint="eastAsia"/>
                <w:sz w:val="21"/>
                <w:szCs w:val="21"/>
                <w:lang w:val="en-US" w:eastAsia="zh-CN"/>
              </w:rPr>
              <w:t>浓密</w:t>
            </w:r>
            <w:r>
              <w:rPr>
                <w:rFonts w:hint="default"/>
                <w:sz w:val="21"/>
                <w:szCs w:val="21"/>
                <w:lang w:val="en-US" w:eastAsia="zh-CN"/>
              </w:rPr>
              <w:t>→</w:t>
            </w:r>
            <w:r>
              <w:rPr>
                <w:rFonts w:hint="eastAsia"/>
                <w:sz w:val="21"/>
                <w:szCs w:val="21"/>
                <w:lang w:val="en-US" w:eastAsia="zh-CN"/>
              </w:rPr>
              <w:t>酸浸</w:t>
            </w:r>
            <w:r>
              <w:rPr>
                <w:rFonts w:hint="default"/>
                <w:sz w:val="21"/>
                <w:szCs w:val="21"/>
                <w:lang w:val="en-US" w:eastAsia="zh-CN"/>
              </w:rPr>
              <w:t>→</w:t>
            </w:r>
            <w:r>
              <w:rPr>
                <w:rFonts w:hint="eastAsia"/>
                <w:sz w:val="21"/>
                <w:szCs w:val="21"/>
                <w:lang w:val="en-US" w:eastAsia="zh-CN"/>
              </w:rPr>
              <w:t>萃取</w:t>
            </w:r>
            <w:r>
              <w:rPr>
                <w:rFonts w:hint="default"/>
                <w:sz w:val="21"/>
                <w:szCs w:val="21"/>
                <w:lang w:val="en-US" w:eastAsia="zh-CN"/>
              </w:rPr>
              <w:t>→</w:t>
            </w:r>
            <w:r>
              <w:rPr>
                <w:rFonts w:hint="eastAsia"/>
                <w:sz w:val="21"/>
                <w:szCs w:val="21"/>
                <w:lang w:val="en-US" w:eastAsia="zh-CN"/>
              </w:rPr>
              <w:t>电积</w:t>
            </w:r>
            <w:r>
              <w:rPr>
                <w:rFonts w:hint="default" w:ascii="Arial" w:hAnsi="Arial" w:cs="Arial"/>
                <w:sz w:val="21"/>
                <w:szCs w:val="21"/>
                <w:lang w:eastAsia="zh-CN"/>
              </w:rPr>
              <w:t>→</w:t>
            </w:r>
            <w:r>
              <w:rPr>
                <w:rFonts w:hint="eastAsia"/>
                <w:sz w:val="21"/>
                <w:szCs w:val="21"/>
                <w:lang w:val="en-US" w:eastAsia="zh-CN"/>
              </w:rPr>
              <w:t>阴极铜</w:t>
            </w:r>
          </w:p>
          <w:p>
            <w:pPr>
              <w:rPr>
                <w:rFonts w:hint="eastAsia"/>
                <w:sz w:val="21"/>
                <w:szCs w:val="21"/>
                <w:lang w:eastAsia="zh-CN"/>
              </w:rPr>
            </w:pPr>
            <w:r>
              <w:rPr>
                <w:rFonts w:hint="eastAsia"/>
                <w:sz w:val="21"/>
                <w:szCs w:val="21"/>
                <w:lang w:val="en-US" w:eastAsia="zh-CN"/>
              </w:rPr>
              <w:t xml:space="preserve">                                       </w:t>
            </w:r>
            <w:r>
              <w:rPr>
                <w:rFonts w:hint="default" w:ascii="Arial" w:hAnsi="Arial" w:cs="Arial"/>
                <w:sz w:val="21"/>
                <w:szCs w:val="21"/>
                <w:lang w:val="en-US" w:eastAsia="zh-CN"/>
              </w:rPr>
              <w:t>↓</w:t>
            </w:r>
          </w:p>
          <w:p>
            <w:pPr>
              <w:numPr>
                <w:ilvl w:val="0"/>
                <w:numId w:val="0"/>
              </w:numPr>
              <w:rPr>
                <w:rFonts w:hint="eastAsia"/>
                <w:sz w:val="21"/>
                <w:szCs w:val="21"/>
                <w:lang w:val="en-US" w:eastAsia="zh-CN"/>
              </w:rPr>
            </w:pPr>
            <w:r>
              <w:rPr>
                <w:rFonts w:hint="eastAsia"/>
                <w:sz w:val="21"/>
                <w:szCs w:val="21"/>
                <w:lang w:val="en-US" w:eastAsia="zh-CN"/>
              </w:rPr>
              <w:t xml:space="preserve">                                      中和</w:t>
            </w:r>
            <w:r>
              <w:rPr>
                <w:rFonts w:hint="default" w:ascii="Arial" w:hAnsi="Arial" w:cs="Arial"/>
                <w:sz w:val="21"/>
                <w:szCs w:val="21"/>
                <w:lang w:eastAsia="zh-CN"/>
              </w:rPr>
              <w:t>→</w:t>
            </w:r>
            <w:r>
              <w:rPr>
                <w:rFonts w:hint="eastAsia" w:ascii="Arial" w:hAnsi="Arial" w:cs="Arial"/>
                <w:sz w:val="21"/>
                <w:szCs w:val="21"/>
                <w:lang w:val="en-US" w:eastAsia="zh-CN"/>
              </w:rPr>
              <w:t>尾矿</w:t>
            </w:r>
          </w:p>
          <w:p>
            <w:pPr>
              <w:spacing w:line="360" w:lineRule="exact"/>
              <w:ind w:firstLine="420" w:firstLineChars="200"/>
              <w:rPr>
                <w:rFonts w:hint="eastAsia" w:ascii="Arial" w:hAnsi="Arial" w:cs="Arial"/>
                <w:sz w:val="21"/>
                <w:szCs w:val="21"/>
                <w:highlight w:val="none"/>
                <w:lang w:val="en-US" w:eastAsia="zh-CN"/>
              </w:rPr>
            </w:pPr>
            <w:r>
              <w:rPr>
                <w:rFonts w:hint="eastAsia"/>
                <w:sz w:val="21"/>
                <w:szCs w:val="21"/>
                <w:lang w:val="en-US" w:eastAsia="zh-CN"/>
              </w:rPr>
              <w:t xml:space="preserve">关键工序：电积    </w:t>
            </w:r>
            <w:r>
              <w:rPr>
                <w:rFonts w:hint="eastAsia" w:ascii="Arial" w:hAnsi="Arial" w:cs="Arial"/>
                <w:sz w:val="21"/>
                <w:szCs w:val="21"/>
                <w:highlight w:val="none"/>
                <w:lang w:val="en-US" w:eastAsia="zh-CN"/>
              </w:rPr>
              <w:t>特殊工序：无</w:t>
            </w:r>
          </w:p>
          <w:p>
            <w:pPr>
              <w:spacing w:line="360" w:lineRule="exact"/>
              <w:ind w:firstLine="420" w:firstLineChars="200"/>
              <w:rPr>
                <w:rFonts w:hint="eastAsia" w:ascii="Arial" w:hAnsi="Arial" w:cs="Arial"/>
                <w:sz w:val="21"/>
                <w:szCs w:val="21"/>
                <w:highlight w:val="none"/>
                <w:lang w:val="en-US" w:eastAsia="zh-CN"/>
              </w:rPr>
            </w:pPr>
          </w:p>
          <w:p>
            <w:pPr>
              <w:spacing w:line="240" w:lineRule="exact"/>
              <w:ind w:firstLine="420" w:firstLineChars="200"/>
              <w:rPr>
                <w:rFonts w:ascii="宋体" w:hAnsi="宋体"/>
                <w:b/>
                <w:sz w:val="21"/>
                <w:szCs w:val="21"/>
              </w:rPr>
            </w:pPr>
            <w:r>
              <w:rPr>
                <w:rFonts w:hint="eastAsia" w:ascii="Arial" w:hAnsi="Arial" w:eastAsia="宋体" w:cs="Arial"/>
                <w:sz w:val="21"/>
                <w:szCs w:val="21"/>
                <w:highlight w:val="none"/>
                <w:lang w:val="en-US" w:eastAsia="zh-CN"/>
              </w:rPr>
              <w:t>对关键过程控制基本有效。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360" w:lineRule="exact"/>
              <w:ind w:firstLine="420" w:firstLineChars="200"/>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明确了质量目标和相关的产品特性要求：产品一次检验合格率达92%以上；b）顾客满意率达97%以上。根据客户和相关标准的要求进行生产和服务的提供。</w:t>
            </w:r>
          </w:p>
          <w:p>
            <w:pPr>
              <w:spacing w:line="360" w:lineRule="exact"/>
              <w:ind w:firstLine="420" w:firstLineChars="200"/>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公司生产、检验相关标准：受审核方参考国家、行业标准制定的标准有：GB/T3884.1-2012 铜精矿化学分析方法 第一部分：铜量的测定、《工艺流程规范》、《产品检验控制程序》等指导产品生产和确定产品的接收；</w:t>
            </w:r>
          </w:p>
          <w:p>
            <w:pPr>
              <w:spacing w:line="240" w:lineRule="exact"/>
              <w:rPr>
                <w:b/>
                <w:color w:val="000000" w:themeColor="text1"/>
                <w:sz w:val="20"/>
                <w:szCs w:val="20"/>
              </w:rPr>
            </w:pPr>
          </w:p>
          <w:p>
            <w:pPr>
              <w:spacing w:line="240" w:lineRule="exact"/>
              <w:rPr>
                <w:rFonts w:hint="eastAsia" w:ascii="Times New Roman" w:hAnsi="Times New Roman" w:eastAsia="宋体" w:cs="Times New Roman"/>
                <w:sz w:val="21"/>
                <w:szCs w:val="21"/>
                <w:lang w:val="en-US" w:eastAsia="zh-CN"/>
              </w:rPr>
            </w:pPr>
            <w:r>
              <w:rPr>
                <w:rFonts w:hint="eastAsia"/>
                <w:b/>
                <w:color w:val="000000" w:themeColor="text1"/>
                <w:sz w:val="20"/>
                <w:szCs w:val="20"/>
              </w:rPr>
              <w:t>(应说明相关证据)：</w:t>
            </w:r>
            <w:r>
              <w:rPr>
                <w:rFonts w:hint="eastAsia" w:ascii="Times New Roman" w:hAnsi="Times New Roman" w:eastAsia="宋体" w:cs="Times New Roman"/>
                <w:sz w:val="21"/>
                <w:szCs w:val="21"/>
                <w:lang w:val="en-US" w:eastAsia="zh-CN"/>
              </w:rPr>
              <w:t>有顾客的验收证据或付款证据说明顾客认可公司提供的服务。</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hint="eastAsia" w:ascii="宋体" w:hAnsi="宋体" w:eastAsia="宋体"/>
                <w:b/>
                <w:sz w:val="21"/>
                <w:szCs w:val="21"/>
                <w:lang w:eastAsia="zh-CN"/>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r>
              <w:rPr>
                <w:rFonts w:hint="eastAsia" w:ascii="宋体" w:hAnsi="宋体"/>
                <w:b/>
                <w:sz w:val="21"/>
                <w:szCs w:val="21"/>
                <w:lang w:eastAsia="zh-CN"/>
              </w:rPr>
              <w:t>：</w:t>
            </w:r>
          </w:p>
          <w:p>
            <w:pPr>
              <w:spacing w:line="240" w:lineRule="exact"/>
              <w:ind w:firstLine="211" w:firstLineChars="100"/>
              <w:rPr>
                <w:rFonts w:ascii="宋体" w:hAnsi="宋体"/>
                <w:b/>
                <w:sz w:val="21"/>
                <w:szCs w:val="21"/>
              </w:rPr>
            </w:pPr>
          </w:p>
          <w:p>
            <w:pPr>
              <w:spacing w:line="240" w:lineRule="exact"/>
              <w:ind w:firstLine="201" w:firstLineChars="100"/>
              <w:rPr>
                <w:rFonts w:ascii="宋体" w:hAnsi="宋体"/>
                <w:b/>
                <w:sz w:val="21"/>
                <w:szCs w:val="21"/>
              </w:rPr>
            </w:pPr>
            <w:r>
              <w:rPr>
                <w:rFonts w:hint="eastAsia"/>
                <w:b/>
                <w:color w:val="000000" w:themeColor="text1"/>
                <w:sz w:val="20"/>
                <w:szCs w:val="20"/>
              </w:rPr>
              <w:t>无</w:t>
            </w:r>
          </w:p>
          <w:p>
            <w:pPr>
              <w:spacing w:line="240" w:lineRule="exact"/>
              <w:rPr>
                <w:rFonts w:ascii="宋体" w:hAnsi="宋体"/>
                <w:b/>
                <w:sz w:val="21"/>
                <w:szCs w:val="21"/>
              </w:rPr>
            </w:pPr>
          </w:p>
          <w:p>
            <w:pPr>
              <w:spacing w:line="300" w:lineRule="exact"/>
              <w:ind w:firstLine="207" w:firstLineChars="98"/>
              <w:rPr>
                <w:rFonts w:ascii="宋体" w:hAnsi="宋体"/>
                <w:b/>
                <w:sz w:val="21"/>
                <w:szCs w:val="21"/>
              </w:rPr>
            </w:pPr>
            <w:r>
              <w:rPr>
                <w:rFonts w:hint="eastAsia" w:ascii="宋体" w:hAnsi="宋体"/>
                <w:b/>
                <w:sz w:val="21"/>
                <w:szCs w:val="21"/>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1"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240" w:lineRule="exact"/>
              <w:rPr>
                <w:rFonts w:ascii="宋体" w:hAnsi="宋体"/>
                <w:b/>
                <w:sz w:val="21"/>
                <w:szCs w:val="21"/>
              </w:rPr>
            </w:pPr>
          </w:p>
          <w:p>
            <w:pPr>
              <w:spacing w:line="240" w:lineRule="exact"/>
              <w:ind w:firstLine="402" w:firstLineChars="200"/>
              <w:rPr>
                <w:rFonts w:hint="eastAsia" w:ascii="宋体" w:hAnsi="宋体" w:eastAsia="宋体"/>
                <w:b/>
                <w:sz w:val="21"/>
                <w:szCs w:val="21"/>
                <w:lang w:eastAsia="zh-CN"/>
              </w:rPr>
            </w:pPr>
            <w:r>
              <w:rPr>
                <w:rFonts w:hint="eastAsia"/>
                <w:b/>
                <w:color w:val="000000" w:themeColor="text1"/>
                <w:sz w:val="20"/>
                <w:szCs w:val="20"/>
              </w:rPr>
              <w:t>主要对内审不合规进行识别纠正和控制，生产过程不合规明确了控制程序，目前未发生</w:t>
            </w:r>
            <w:r>
              <w:rPr>
                <w:rFonts w:hint="eastAsia"/>
                <w:b/>
                <w:color w:val="000000" w:themeColor="text1"/>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4"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240" w:lineRule="exact"/>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spacing w:line="240" w:lineRule="exact"/>
              <w:rPr>
                <w:rFonts w:ascii="宋体" w:hAnsi="宋体"/>
                <w:b/>
                <w:sz w:val="21"/>
                <w:szCs w:val="21"/>
              </w:rPr>
            </w:pPr>
            <w:r>
              <w:rPr>
                <w:rFonts w:hint="eastAsia" w:ascii="Times New Roman" w:hAnsi="Times New Roman" w:eastAsia="宋体" w:cs="Times New Roman"/>
                <w:bCs/>
                <w:color w:val="000000" w:themeColor="text1"/>
                <w:sz w:val="20"/>
                <w:szCs w:val="20"/>
              </w:rPr>
              <w:t>该公司针对重大环境因素火灾、</w:t>
            </w:r>
            <w:r>
              <w:rPr>
                <w:rFonts w:hint="eastAsia" w:ascii="Times New Roman" w:hAnsi="Times New Roman" w:eastAsia="宋体" w:cs="Times New Roman"/>
                <w:bCs/>
                <w:color w:val="000000" w:themeColor="text1"/>
                <w:sz w:val="20"/>
                <w:szCs w:val="20"/>
                <w:lang w:eastAsia="zh-CN"/>
              </w:rPr>
              <w:t>废水、</w:t>
            </w:r>
            <w:r>
              <w:rPr>
                <w:rFonts w:hint="eastAsia" w:ascii="Times New Roman" w:hAnsi="Times New Roman" w:eastAsia="宋体" w:cs="Times New Roman"/>
                <w:bCs/>
                <w:color w:val="000000" w:themeColor="text1"/>
                <w:sz w:val="20"/>
                <w:szCs w:val="20"/>
              </w:rPr>
              <w:t>废气、固废</w:t>
            </w:r>
            <w:r>
              <w:rPr>
                <w:rFonts w:hint="eastAsia" w:ascii="Times New Roman" w:hAnsi="Times New Roman" w:eastAsia="宋体" w:cs="Times New Roman"/>
                <w:bCs/>
                <w:color w:val="000000" w:themeColor="text1"/>
                <w:sz w:val="20"/>
                <w:szCs w:val="20"/>
                <w:lang w:eastAsia="zh-CN"/>
              </w:rPr>
              <w:t>等，</w:t>
            </w:r>
            <w:r>
              <w:rPr>
                <w:rFonts w:hint="eastAsia" w:ascii="Times New Roman" w:hAnsi="Times New Roman" w:eastAsia="宋体" w:cs="Times New Roman"/>
                <w:bCs/>
                <w:color w:val="000000" w:themeColor="text1"/>
                <w:sz w:val="20"/>
                <w:szCs w:val="20"/>
              </w:rPr>
              <w:t>制定了管理方案明确控制措施和负责人及完成时间、效果监测，目前达到预期目的。</w:t>
            </w:r>
            <w:r>
              <w:rPr>
                <w:rFonts w:hint="eastAsia" w:ascii="Times New Roman" w:hAnsi="Times New Roman" w:eastAsia="宋体" w:cs="Times New Roman"/>
                <w:bCs/>
                <w:color w:val="000000" w:themeColor="text1"/>
                <w:sz w:val="20"/>
                <w:szCs w:val="20"/>
                <w:lang w:eastAsia="zh-CN"/>
              </w:rPr>
              <w:t>四</w:t>
            </w:r>
            <w:r>
              <w:rPr>
                <w:rFonts w:hint="eastAsia" w:ascii="Times New Roman" w:hAnsi="Times New Roman" w:eastAsia="宋体" w:cs="Times New Roman"/>
                <w:bCs/>
                <w:color w:val="000000" w:themeColor="text1"/>
                <w:sz w:val="20"/>
                <w:szCs w:val="20"/>
              </w:rPr>
              <w:t>周侧为</w:t>
            </w:r>
            <w:r>
              <w:rPr>
                <w:rFonts w:hint="eastAsia" w:ascii="Times New Roman" w:hAnsi="Times New Roman" w:eastAsia="宋体" w:cs="Times New Roman"/>
                <w:bCs/>
                <w:color w:val="000000" w:themeColor="text1"/>
                <w:sz w:val="20"/>
                <w:szCs w:val="20"/>
                <w:lang w:eastAsia="zh-CN"/>
              </w:rPr>
              <w:t>山</w:t>
            </w:r>
            <w:r>
              <w:rPr>
                <w:rFonts w:hint="eastAsia" w:ascii="Times New Roman" w:hAnsi="Times New Roman" w:eastAsia="宋体" w:cs="Times New Roman"/>
                <w:bCs/>
                <w:color w:val="000000" w:themeColor="text1"/>
                <w:sz w:val="20"/>
                <w:szCs w:val="20"/>
              </w:rPr>
              <w:t>地，对周边环境影响不大，可得到有效控制。对相关方进行了必要告知</w:t>
            </w:r>
            <w:r>
              <w:rPr>
                <w:rFonts w:hint="eastAsia"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1"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hint="eastAsia" w:ascii="宋体" w:hAnsi="宋体" w:eastAsia="宋体"/>
                <w:b/>
                <w:sz w:val="21"/>
                <w:szCs w:val="21"/>
                <w:lang w:eastAsia="zh-CN"/>
              </w:rPr>
            </w:pPr>
            <w:r>
              <w:rPr>
                <w:rFonts w:ascii="宋体" w:hAnsi="宋体"/>
                <w:b/>
                <w:sz w:val="21"/>
                <w:szCs w:val="21"/>
              </w:rPr>
              <w:t>8. OHSMS</w:t>
            </w:r>
            <w:r>
              <w:rPr>
                <w:rFonts w:hint="eastAsia" w:ascii="宋体" w:hAnsi="宋体"/>
                <w:b/>
                <w:sz w:val="21"/>
                <w:szCs w:val="21"/>
              </w:rPr>
              <w:t>组织对不可接受风险实施控制的结果</w:t>
            </w:r>
            <w:r>
              <w:rPr>
                <w:rFonts w:hint="eastAsia" w:ascii="宋体" w:hAnsi="宋体"/>
                <w:b/>
                <w:sz w:val="21"/>
                <w:szCs w:val="21"/>
                <w:lang w:eastAsia="zh-CN"/>
              </w:rPr>
              <w:t>：</w:t>
            </w:r>
            <w:r>
              <w:rPr>
                <w:rFonts w:hint="eastAsia" w:ascii="Times New Roman" w:hAnsi="Times New Roman" w:eastAsia="宋体" w:cs="Times New Roman"/>
                <w:bCs/>
                <w:color w:val="000000" w:themeColor="text1"/>
                <w:sz w:val="20"/>
                <w:szCs w:val="20"/>
                <w:lang w:eastAsia="zh-CN"/>
              </w:rPr>
              <w:t>该公司针对重大危险源火灾、意外伤害制定了管理方案明确控制措施和负责人及完成时间、效果监测，目前控制基本有效达到预期目的。目前公司重大危险源对公司及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spacing w:line="240" w:lineRule="exact"/>
              <w:rPr>
                <w:rFonts w:ascii="宋体" w:hAnsi="宋体"/>
                <w:b/>
                <w:sz w:val="21"/>
                <w:szCs w:val="21"/>
              </w:rPr>
            </w:pPr>
            <w:r>
              <w:rPr>
                <w:rFonts w:hint="eastAsia" w:ascii="Times New Roman" w:hAnsi="Times New Roman" w:eastAsia="宋体" w:cs="Times New Roman"/>
                <w:bCs/>
                <w:color w:val="000000" w:themeColor="text1"/>
                <w:sz w:val="20"/>
                <w:szCs w:val="20"/>
                <w:lang w:eastAsia="zh-CN"/>
              </w:rPr>
              <w:t>对火灾突发事件、溃坝、机械伤害、触电等制定了应急预案，提供了机械伤害“应急预案演练记录”，对演练效果进行了评价。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10. </w:t>
            </w: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w:t>
            </w:r>
            <w:r>
              <w:rPr>
                <w:rFonts w:ascii="宋体" w:hAnsi="宋体"/>
                <w:b/>
                <w:sz w:val="21"/>
                <w:szCs w:val="21"/>
              </w:rPr>
              <w:t>适用时</w:t>
            </w:r>
            <w:r>
              <w:rPr>
                <w:rFonts w:hint="eastAsia" w:ascii="宋体" w:hAnsi="宋体"/>
                <w:b/>
                <w:sz w:val="21"/>
                <w:szCs w:val="21"/>
              </w:rPr>
              <w:t>）</w:t>
            </w:r>
            <w:r>
              <w:rPr>
                <w:rFonts w:hint="eastAsia" w:ascii="Times New Roman" w:hAnsi="Times New Roman" w:eastAsia="宋体" w:cs="Times New Roman"/>
                <w:bCs/>
                <w:color w:val="000000" w:themeColor="text1"/>
                <w:sz w:val="20"/>
                <w:szCs w:val="20"/>
                <w:lang w:eastAsia="zh-CN"/>
              </w:rPr>
              <w:t>特种设备有锅炉、起重设备、电梯等，</w:t>
            </w:r>
            <w:r>
              <w:rPr>
                <w:rFonts w:hint="eastAsia" w:ascii="Times New Roman" w:hAnsi="Times New Roman" w:eastAsia="宋体" w:cs="Times New Roman"/>
                <w:bCs/>
                <w:color w:val="000000" w:themeColor="text1"/>
                <w:sz w:val="20"/>
                <w:szCs w:val="20"/>
                <w:lang w:val="en-US" w:eastAsia="zh-CN"/>
              </w:rPr>
              <w:t>起重设备21台，抽查3部；电梯共6部抽查3部；锅炉共5台抽查3台抽到样品均有检验（检定）报告，详见附件</w:t>
            </w:r>
            <w:r>
              <w:rPr>
                <w:rFonts w:hint="eastAsia" w:ascii="Times New Roman" w:hAnsi="Times New Roman" w:eastAsia="宋体" w:cs="Times New Roman"/>
                <w:bCs/>
                <w:color w:val="000000" w:themeColor="text1"/>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r>
              <w:rPr>
                <w:rFonts w:hint="eastAsia" w:ascii="Times New Roman" w:hAnsi="Times New Roman" w:eastAsia="宋体" w:cs="Times New Roman"/>
                <w:bCs/>
                <w:color w:val="000000" w:themeColor="text1"/>
                <w:sz w:val="20"/>
                <w:szCs w:val="20"/>
                <w:lang w:val="en-US" w:eastAsia="zh-CN"/>
              </w:rPr>
              <w:t>危险废物，主要有废机油等，由具备资质的第三方处理，同时建立危险品管理制度和单独通风存放间，使用登记。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320" w:lineRule="exact"/>
              <w:ind w:firstLine="422" w:firstLineChars="200"/>
              <w:rPr>
                <w:rFonts w:ascii="宋体" w:hAnsi="宋体" w:cs="宋体"/>
                <w:kern w:val="0"/>
                <w:szCs w:val="21"/>
              </w:rPr>
            </w:pPr>
            <w:r>
              <w:rPr>
                <w:rFonts w:ascii="宋体" w:hAnsi="宋体"/>
                <w:b/>
                <w:sz w:val="21"/>
                <w:szCs w:val="21"/>
              </w:rPr>
              <w:t>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r>
              <w:rPr>
                <w:rFonts w:hint="eastAsia" w:ascii="宋体" w:hAnsi="宋体"/>
                <w:b/>
                <w:sz w:val="21"/>
                <w:szCs w:val="21"/>
                <w:lang w:eastAsia="zh-CN"/>
              </w:rPr>
              <w:t>：</w:t>
            </w:r>
            <w:r>
              <w:rPr>
                <w:rFonts w:hint="eastAsia" w:ascii="宋体" w:hAnsi="宋体" w:cs="宋体"/>
                <w:kern w:val="0"/>
                <w:szCs w:val="21"/>
              </w:rPr>
              <w:t>管理目标：</w:t>
            </w:r>
          </w:p>
          <w:p>
            <w:pPr>
              <w:spacing w:line="240" w:lineRule="exact"/>
              <w:rPr>
                <w:rFonts w:hint="eastAsia" w:ascii="Times New Roman" w:hAnsi="Times New Roman" w:eastAsia="宋体" w:cs="Times New Roman"/>
                <w:bCs/>
                <w:color w:val="000000" w:themeColor="text1"/>
                <w:sz w:val="20"/>
                <w:szCs w:val="20"/>
                <w:lang w:val="en-US" w:eastAsia="zh-CN"/>
              </w:rPr>
            </w:pPr>
            <w:r>
              <w:rPr>
                <w:rFonts w:hint="eastAsia" w:ascii="Times New Roman" w:hAnsi="Times New Roman" w:eastAsia="宋体" w:cs="Times New Roman"/>
                <w:bCs/>
                <w:color w:val="000000" w:themeColor="text1"/>
                <w:sz w:val="20"/>
                <w:szCs w:val="20"/>
                <w:lang w:val="en-US" w:eastAsia="zh-CN"/>
              </w:rPr>
              <w:t>质量目标：</w:t>
            </w:r>
          </w:p>
          <w:p>
            <w:pPr>
              <w:spacing w:line="240" w:lineRule="exact"/>
              <w:rPr>
                <w:rFonts w:hint="eastAsia" w:ascii="Times New Roman" w:hAnsi="Times New Roman" w:eastAsia="宋体" w:cs="Times New Roman"/>
                <w:bCs/>
                <w:color w:val="000000" w:themeColor="text1"/>
                <w:sz w:val="20"/>
                <w:szCs w:val="20"/>
                <w:lang w:val="en-US" w:eastAsia="zh-CN"/>
              </w:rPr>
            </w:pPr>
            <w:r>
              <w:rPr>
                <w:rFonts w:hint="eastAsia" w:ascii="Times New Roman" w:hAnsi="Times New Roman" w:eastAsia="宋体" w:cs="Times New Roman"/>
                <w:bCs/>
                <w:color w:val="000000" w:themeColor="text1"/>
                <w:sz w:val="20"/>
                <w:szCs w:val="20"/>
                <w:lang w:val="en-US" w:eastAsia="zh-CN"/>
              </w:rPr>
              <w:t>1、产品品位≥99.95%</w:t>
            </w:r>
          </w:p>
          <w:p>
            <w:pPr>
              <w:spacing w:line="240" w:lineRule="exact"/>
              <w:rPr>
                <w:rFonts w:hint="eastAsia" w:ascii="Times New Roman" w:hAnsi="Times New Roman" w:eastAsia="宋体" w:cs="Times New Roman"/>
                <w:bCs/>
                <w:color w:val="000000" w:themeColor="text1"/>
                <w:sz w:val="20"/>
                <w:szCs w:val="20"/>
                <w:lang w:val="en-US" w:eastAsia="zh-CN"/>
              </w:rPr>
            </w:pPr>
            <w:r>
              <w:rPr>
                <w:rFonts w:hint="eastAsia" w:ascii="Times New Roman" w:hAnsi="Times New Roman" w:eastAsia="宋体" w:cs="Times New Roman"/>
                <w:bCs/>
                <w:color w:val="000000" w:themeColor="text1"/>
                <w:sz w:val="20"/>
                <w:szCs w:val="20"/>
                <w:lang w:val="en-US" w:eastAsia="zh-CN"/>
              </w:rPr>
              <w:t>2、顾客满意度95%</w:t>
            </w:r>
          </w:p>
          <w:p>
            <w:pPr>
              <w:spacing w:line="240" w:lineRule="exact"/>
              <w:rPr>
                <w:rFonts w:hint="eastAsia" w:ascii="Times New Roman" w:hAnsi="Times New Roman" w:eastAsia="宋体" w:cs="Times New Roman"/>
                <w:bCs/>
                <w:color w:val="000000" w:themeColor="text1"/>
                <w:sz w:val="20"/>
                <w:szCs w:val="20"/>
                <w:lang w:val="en-US" w:eastAsia="zh-CN"/>
              </w:rPr>
            </w:pPr>
            <w:r>
              <w:rPr>
                <w:rFonts w:hint="eastAsia" w:ascii="Times New Roman" w:hAnsi="Times New Roman" w:eastAsia="宋体" w:cs="Times New Roman"/>
                <w:bCs/>
                <w:color w:val="000000" w:themeColor="text1"/>
                <w:sz w:val="20"/>
                <w:szCs w:val="20"/>
                <w:lang w:val="en-US" w:eastAsia="zh-CN"/>
              </w:rPr>
              <w:t xml:space="preserve"> 环境目标：</w:t>
            </w:r>
          </w:p>
          <w:p>
            <w:pPr>
              <w:spacing w:line="240" w:lineRule="exact"/>
              <w:rPr>
                <w:rFonts w:hint="eastAsia" w:ascii="Times New Roman" w:hAnsi="Times New Roman" w:eastAsia="宋体" w:cs="Times New Roman"/>
                <w:bCs/>
                <w:color w:val="000000" w:themeColor="text1"/>
                <w:sz w:val="20"/>
                <w:szCs w:val="20"/>
                <w:lang w:val="en-US" w:eastAsia="zh-CN"/>
              </w:rPr>
            </w:pPr>
            <w:r>
              <w:rPr>
                <w:rFonts w:hint="eastAsia" w:ascii="Times New Roman" w:hAnsi="Times New Roman" w:eastAsia="宋体" w:cs="Times New Roman"/>
                <w:bCs/>
                <w:color w:val="000000" w:themeColor="text1"/>
                <w:sz w:val="20"/>
                <w:szCs w:val="20"/>
                <w:lang w:val="en-US" w:eastAsia="zh-CN"/>
              </w:rPr>
              <w:t>1、环境污染事故为零；</w:t>
            </w:r>
          </w:p>
          <w:p>
            <w:pPr>
              <w:spacing w:line="240" w:lineRule="exact"/>
              <w:rPr>
                <w:rFonts w:hint="eastAsia" w:ascii="Times New Roman" w:hAnsi="Times New Roman" w:eastAsia="宋体" w:cs="Times New Roman"/>
                <w:bCs/>
                <w:color w:val="000000" w:themeColor="text1"/>
                <w:sz w:val="20"/>
                <w:szCs w:val="20"/>
                <w:lang w:val="en-US" w:eastAsia="zh-CN"/>
              </w:rPr>
            </w:pPr>
            <w:r>
              <w:rPr>
                <w:rFonts w:hint="eastAsia" w:ascii="Times New Roman" w:hAnsi="Times New Roman" w:eastAsia="宋体" w:cs="Times New Roman"/>
                <w:bCs/>
                <w:color w:val="000000" w:themeColor="text1"/>
                <w:sz w:val="20"/>
                <w:szCs w:val="20"/>
                <w:lang w:val="en-US" w:eastAsia="zh-CN"/>
              </w:rPr>
              <w:t>2、能源消耗每年降低0.5%。</w:t>
            </w:r>
          </w:p>
          <w:p>
            <w:pPr>
              <w:spacing w:line="240" w:lineRule="exact"/>
              <w:rPr>
                <w:rFonts w:hint="eastAsia" w:ascii="Times New Roman" w:hAnsi="Times New Roman" w:eastAsia="宋体" w:cs="Times New Roman"/>
                <w:bCs/>
                <w:color w:val="000000" w:themeColor="text1"/>
                <w:sz w:val="20"/>
                <w:szCs w:val="20"/>
                <w:lang w:val="en-US" w:eastAsia="zh-CN"/>
              </w:rPr>
            </w:pPr>
            <w:r>
              <w:rPr>
                <w:rFonts w:hint="eastAsia" w:ascii="Times New Roman" w:hAnsi="Times New Roman" w:eastAsia="宋体" w:cs="Times New Roman"/>
                <w:bCs/>
                <w:color w:val="000000" w:themeColor="text1"/>
                <w:sz w:val="20"/>
                <w:szCs w:val="20"/>
                <w:lang w:val="en-US" w:eastAsia="zh-CN"/>
              </w:rPr>
              <w:t>职业健康安全目标：</w:t>
            </w:r>
          </w:p>
          <w:p>
            <w:pPr>
              <w:spacing w:line="240" w:lineRule="exact"/>
              <w:rPr>
                <w:rFonts w:hint="eastAsia" w:ascii="Times New Roman" w:hAnsi="Times New Roman" w:eastAsia="宋体" w:cs="Times New Roman"/>
                <w:bCs/>
                <w:color w:val="000000" w:themeColor="text1"/>
                <w:sz w:val="20"/>
                <w:szCs w:val="20"/>
                <w:lang w:val="en-US" w:eastAsia="zh-CN"/>
              </w:rPr>
            </w:pPr>
            <w:r>
              <w:rPr>
                <w:rFonts w:hint="eastAsia" w:ascii="Times New Roman" w:hAnsi="Times New Roman" w:eastAsia="宋体" w:cs="Times New Roman"/>
                <w:bCs/>
                <w:color w:val="000000" w:themeColor="text1"/>
                <w:sz w:val="20"/>
                <w:szCs w:val="20"/>
                <w:lang w:val="en-US" w:eastAsia="zh-CN"/>
              </w:rPr>
              <w:t xml:space="preserve">1、重伤率＜1.5‰、轻伤率＜5‰； </w:t>
            </w:r>
          </w:p>
          <w:p>
            <w:pPr>
              <w:spacing w:line="240" w:lineRule="exact"/>
              <w:rPr>
                <w:rFonts w:hint="eastAsia" w:ascii="Times New Roman" w:hAnsi="Times New Roman" w:eastAsia="宋体" w:cs="Times New Roman"/>
                <w:bCs/>
                <w:color w:val="000000" w:themeColor="text1"/>
                <w:sz w:val="20"/>
                <w:szCs w:val="20"/>
                <w:lang w:val="en-US" w:eastAsia="zh-CN"/>
              </w:rPr>
            </w:pPr>
            <w:r>
              <w:rPr>
                <w:rFonts w:hint="eastAsia" w:ascii="Times New Roman" w:hAnsi="Times New Roman" w:eastAsia="宋体" w:cs="Times New Roman"/>
                <w:bCs/>
                <w:color w:val="000000" w:themeColor="text1"/>
                <w:sz w:val="20"/>
                <w:szCs w:val="20"/>
                <w:lang w:val="en-US" w:eastAsia="zh-CN"/>
              </w:rPr>
              <w:t>2、较大火灾、泄露事故发生率为零；</w:t>
            </w:r>
          </w:p>
          <w:p>
            <w:pPr>
              <w:spacing w:line="240" w:lineRule="exact"/>
              <w:rPr>
                <w:rFonts w:hint="eastAsia" w:ascii="Times New Roman" w:hAnsi="Times New Roman" w:eastAsia="宋体" w:cs="Times New Roman"/>
                <w:bCs/>
                <w:color w:val="000000" w:themeColor="text1"/>
                <w:sz w:val="20"/>
                <w:szCs w:val="20"/>
                <w:lang w:val="en-US" w:eastAsia="zh-CN"/>
              </w:rPr>
            </w:pPr>
            <w:r>
              <w:rPr>
                <w:rFonts w:hint="eastAsia" w:ascii="Times New Roman" w:hAnsi="Times New Roman" w:eastAsia="宋体" w:cs="Times New Roman"/>
                <w:bCs/>
                <w:color w:val="000000" w:themeColor="text1"/>
                <w:sz w:val="20"/>
                <w:szCs w:val="20"/>
                <w:lang w:val="en-US" w:eastAsia="zh-CN"/>
              </w:rPr>
              <w:t xml:space="preserve">3、职业病发病率为零。  </w:t>
            </w:r>
          </w:p>
          <w:p>
            <w:pPr>
              <w:spacing w:line="240" w:lineRule="exact"/>
              <w:rPr>
                <w:rFonts w:hint="eastAsia" w:ascii="Times New Roman" w:hAnsi="Times New Roman" w:eastAsia="宋体" w:cs="Times New Roman"/>
                <w:bCs/>
                <w:color w:val="000000" w:themeColor="text1"/>
                <w:sz w:val="20"/>
                <w:szCs w:val="20"/>
                <w:lang w:val="en-US" w:eastAsia="zh-CN"/>
              </w:rPr>
            </w:pPr>
            <w:r>
              <w:rPr>
                <w:rFonts w:hint="eastAsia" w:ascii="Times New Roman" w:hAnsi="Times New Roman" w:eastAsia="宋体" w:cs="Times New Roman"/>
                <w:bCs/>
                <w:color w:val="000000" w:themeColor="text1"/>
                <w:sz w:val="20"/>
                <w:szCs w:val="20"/>
                <w:lang w:val="en-US" w:eastAsia="zh-CN"/>
              </w:rPr>
              <w:t>目标可测量，与公司管理方针一致。</w:t>
            </w:r>
          </w:p>
          <w:p>
            <w:pPr>
              <w:spacing w:line="240" w:lineRule="exact"/>
              <w:rPr>
                <w:rFonts w:hint="eastAsia" w:ascii="Times New Roman" w:hAnsi="Times New Roman" w:eastAsia="宋体" w:cs="Times New Roman"/>
                <w:bCs/>
                <w:color w:val="000000" w:themeColor="text1"/>
                <w:sz w:val="20"/>
                <w:szCs w:val="20"/>
                <w:lang w:val="en-US" w:eastAsia="zh-CN"/>
              </w:rPr>
            </w:pPr>
            <w:r>
              <w:rPr>
                <w:rFonts w:hint="eastAsia" w:ascii="Times New Roman" w:hAnsi="Times New Roman" w:eastAsia="宋体" w:cs="Times New Roman"/>
                <w:bCs/>
                <w:color w:val="000000" w:themeColor="text1"/>
                <w:sz w:val="20"/>
                <w:szCs w:val="20"/>
                <w:lang w:val="en-US" w:eastAsia="zh-CN"/>
              </w:rPr>
              <w:t>目标与公司管理方针一致。</w:t>
            </w:r>
          </w:p>
          <w:p>
            <w:pPr>
              <w:spacing w:line="240" w:lineRule="exact"/>
              <w:rPr>
                <w:rFonts w:hint="eastAsia" w:ascii="Times New Roman" w:hAnsi="Times New Roman" w:eastAsia="宋体" w:cs="Times New Roman"/>
                <w:bCs/>
                <w:color w:val="000000" w:themeColor="text1"/>
                <w:sz w:val="20"/>
                <w:szCs w:val="20"/>
                <w:lang w:val="en-US" w:eastAsia="zh-CN"/>
              </w:rPr>
            </w:pPr>
            <w:r>
              <w:rPr>
                <w:rFonts w:hint="eastAsia" w:ascii="Times New Roman" w:hAnsi="Times New Roman" w:eastAsia="宋体" w:cs="Times New Roman"/>
                <w:bCs/>
                <w:color w:val="000000" w:themeColor="text1"/>
                <w:sz w:val="20"/>
                <w:szCs w:val="20"/>
                <w:lang w:val="en-US" w:eastAsia="zh-CN"/>
              </w:rPr>
              <w:t>每季度由质管部按公司管理目标考核要求统计考核公司管理目标完成情况，提交管理评审会议。查到2020年上半年公司管理目标完成情况，各项目标均已达成，考核部门：质管部,审批：孙兵。</w:t>
            </w:r>
          </w:p>
          <w:p>
            <w:pPr>
              <w:spacing w:line="240" w:lineRule="exact"/>
              <w:rPr>
                <w:rFonts w:hint="eastAsia" w:ascii="Times New Roman" w:hAnsi="Times New Roman" w:eastAsia="宋体" w:cs="Times New Roman"/>
                <w:bCs/>
                <w:color w:val="000000" w:themeColor="text1"/>
                <w:sz w:val="20"/>
                <w:szCs w:val="20"/>
                <w:lang w:val="en-US" w:eastAsia="zh-CN"/>
              </w:rPr>
            </w:pPr>
            <w:r>
              <w:rPr>
                <w:rFonts w:hint="eastAsia" w:ascii="Times New Roman" w:hAnsi="Times New Roman" w:eastAsia="宋体" w:cs="Times New Roman"/>
                <w:bCs/>
                <w:color w:val="000000" w:themeColor="text1"/>
                <w:sz w:val="20"/>
                <w:szCs w:val="20"/>
                <w:lang w:val="en-US" w:eastAsia="zh-CN"/>
              </w:rPr>
              <w:t>公司对管理体系所需的相关职能、层次和过程设定管理目标。</w:t>
            </w:r>
          </w:p>
          <w:p>
            <w:pPr>
              <w:spacing w:line="240" w:lineRule="exact"/>
              <w:rPr>
                <w:rFonts w:hint="eastAsia" w:ascii="Times New Roman" w:hAnsi="Times New Roman" w:eastAsia="宋体" w:cs="Times New Roman"/>
                <w:bCs/>
                <w:color w:val="000000" w:themeColor="text1"/>
                <w:sz w:val="20"/>
                <w:szCs w:val="20"/>
                <w:lang w:val="en-US" w:eastAsia="zh-CN"/>
              </w:rPr>
            </w:pPr>
            <w:r>
              <w:rPr>
                <w:rFonts w:hint="eastAsia" w:ascii="Times New Roman" w:hAnsi="Times New Roman" w:eastAsia="宋体" w:cs="Times New Roman"/>
                <w:bCs/>
                <w:color w:val="000000" w:themeColor="text1"/>
                <w:sz w:val="20"/>
                <w:szCs w:val="20"/>
                <w:lang w:val="en-US" w:eastAsia="zh-CN"/>
              </w:rPr>
              <w:t>针对重要环境因素、重大危险源制订了管理方案并予以实施，基本有效，详见审核安环部该条款记录。</w:t>
            </w:r>
          </w:p>
          <w:p>
            <w:pPr>
              <w:spacing w:line="240" w:lineRule="exact"/>
              <w:ind w:firstLine="105" w:firstLineChars="50"/>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b/>
                <w:color w:val="000000" w:themeColor="text1"/>
                <w:sz w:val="20"/>
                <w:szCs w:val="20"/>
              </w:rPr>
            </w:pPr>
            <w:r>
              <w:rPr>
                <w:rFonts w:ascii="宋体" w:hAnsi="宋体"/>
                <w:b/>
                <w:sz w:val="21"/>
                <w:szCs w:val="21"/>
              </w:rPr>
              <w:t>2.</w:t>
            </w:r>
            <w:r>
              <w:rPr>
                <w:rFonts w:hint="eastAsia" w:ascii="宋体" w:hAnsi="宋体"/>
                <w:b/>
                <w:sz w:val="21"/>
                <w:szCs w:val="21"/>
              </w:rPr>
              <w:t>顾客满意</w:t>
            </w:r>
            <w:r>
              <w:rPr>
                <w:rFonts w:hint="eastAsia" w:ascii="宋体" w:hAnsi="宋体"/>
                <w:b/>
                <w:sz w:val="21"/>
                <w:szCs w:val="21"/>
                <w:lang w:eastAsia="zh-CN"/>
              </w:rPr>
              <w:t>：</w:t>
            </w:r>
            <w:r>
              <w:rPr>
                <w:rFonts w:hint="eastAsia" w:ascii="Times New Roman" w:hAnsi="Times New Roman" w:eastAsia="宋体" w:cs="Times New Roman"/>
                <w:bCs/>
                <w:color w:val="000000" w:themeColor="text1"/>
                <w:sz w:val="20"/>
                <w:szCs w:val="20"/>
                <w:lang w:val="en-US" w:eastAsia="zh-CN"/>
              </w:rPr>
              <w:t>经统计顾客满意率97%，完成目标。</w:t>
            </w:r>
          </w:p>
          <w:p>
            <w:pPr>
              <w:spacing w:line="240" w:lineRule="exact"/>
              <w:ind w:left="105" w:hanging="105" w:hangingChars="50"/>
              <w:rPr>
                <w:rFonts w:hint="eastAsia" w:ascii="宋体" w:hAnsi="宋体" w:eastAsia="宋体"/>
                <w:b/>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内审（包括内审策划审核方案中考虑拟审核的过程和区域的状况和重要性）</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Times New Roman" w:hAnsi="Times New Roman" w:eastAsia="宋体" w:cs="Times New Roman"/>
                <w:bCs/>
                <w:color w:val="000000" w:themeColor="text1"/>
                <w:sz w:val="20"/>
                <w:szCs w:val="20"/>
                <w:lang w:val="en-US" w:eastAsia="zh-CN"/>
              </w:rPr>
              <w:t>内审于2020.5.14-15进行，内审策划审核方案中考虑拟审核的过程和区域的状况和重要性，按审核方案实施，审核员无审核本部门情况，具备公正性、独立性，审核基本有效。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4.</w:t>
            </w:r>
            <w:r>
              <w:rPr>
                <w:rFonts w:hint="eastAsia" w:ascii="宋体" w:hAnsi="宋体"/>
                <w:b/>
                <w:sz w:val="21"/>
                <w:szCs w:val="21"/>
              </w:rPr>
              <w:t>管理评审（管理评审体系变更需求，纠正和预防措施、体系有效性等）</w:t>
            </w:r>
          </w:p>
          <w:p>
            <w:pPr>
              <w:spacing w:line="240" w:lineRule="exact"/>
              <w:rPr>
                <w:rFonts w:ascii="宋体" w:hAnsi="宋体"/>
                <w:b/>
                <w:sz w:val="21"/>
                <w:szCs w:val="21"/>
              </w:rPr>
            </w:pPr>
            <w:r>
              <w:rPr>
                <w:rFonts w:hint="eastAsia"/>
                <w:bCs/>
                <w:color w:val="000000" w:themeColor="text1"/>
                <w:sz w:val="20"/>
                <w:szCs w:val="20"/>
              </w:rPr>
              <w:t>管</w:t>
            </w:r>
            <w:r>
              <w:rPr>
                <w:rFonts w:hint="eastAsia" w:ascii="Times New Roman" w:hAnsi="Times New Roman" w:eastAsia="宋体" w:cs="Times New Roman"/>
                <w:bCs/>
                <w:color w:val="000000" w:themeColor="text1"/>
                <w:sz w:val="20"/>
                <w:szCs w:val="20"/>
                <w:lang w:val="en-US" w:eastAsia="zh-CN"/>
              </w:rPr>
              <w:t>理评审于2020.6.10进行，总经理主持，管理评审的策划和输入和输出实施基本符合标准要求，持续改进为进一步标准及法律法规学习，实施中。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5.  EMS</w:t>
            </w:r>
            <w:r>
              <w:rPr>
                <w:rFonts w:hint="eastAsia" w:ascii="宋体" w:hAnsi="宋体"/>
                <w:b/>
                <w:sz w:val="21"/>
                <w:szCs w:val="21"/>
              </w:rPr>
              <w:t>是否按规定对主要污染物（污水、废气、噪声、废渣等）及排放实施了例行的监视或测量，结果是否满足相关要求？</w:t>
            </w:r>
            <w:r>
              <w:rPr>
                <w:rFonts w:hint="eastAsia" w:ascii="Times New Roman" w:hAnsi="Times New Roman" w:eastAsia="宋体" w:cs="Times New Roman"/>
                <w:bCs/>
                <w:color w:val="000000" w:themeColor="text1"/>
                <w:sz w:val="20"/>
                <w:szCs w:val="20"/>
                <w:lang w:val="en-US" w:eastAsia="zh-CN"/>
              </w:rPr>
              <w:t>该公司主要污染物是废水、火灾、废气、噪声、固废排放，公司各车间设置了固定收集箱，制定了相应的《管理方案》，内容涉及方法措施、执行部门、需用资金、启动/完成时间、完成情况等。如废水管控。生产过程选矿、焙烧、湿法提铜、烟气收尘等产生废水，生产过程废水直接排入尾矿库，进入尾矿库的废水沉淀后上清液大部分返回选矿生产系统重复使用，其他靠蒸发；制冷用冷却水循环使用。办公产生少量生活污水经经二级生化消毒处理后排入党永河；废气管控主要是生产过程工业粉尘。采矿产生于凿岩、爆破、运输过程，采取湿式凿岩、爆破后喷雾散水经向运输道路洒水降尘；选矿破碎焙烧过程产生粉尘；焙烧时产生的二氧化硫制酸；锅炉使用无烟煤同时经除尘后排入30米高烟筒；选矿生产过程噪声源有破碎机、球磨机、鼓风机运行，措施风机在风机房内利用建筑隔声减少噪声。同时在基础与设备连接处做减震处理、鼓风机等配备消声器降低噪声源，加强检查和维保，确保生产设备在正常工况下运行，噪声检测符合要求。固废管控生产过程中主要为选矿的尾矿、焙烧废渣均通过自流管道送到尾矿库堆存；燃煤锅炉产生废渣用于铺路；危险品主要是柴油和汽油、废机油，公司采取加强危险品的危害宣传提高危险意识，同时加强检查防止违规使用危险品。与有资质的危废处理单位。能源资源管控生产过程注意节电，制定各车间的耗电、耗水、耗汽指标，每月进行统计考核。办公节约水电等消耗，要求人走关闭水、电开关，现场未发现有漏水和浪费电能的现象。潜在火灾管控公司成立消防救护队处理消防应急。生产各车间、办公配备消防栓、灭火器。同时组织消防知识培训和演练。安全防护公司为员工发放手套、口罩、防酸鞋、安全带等劳保用品，有公司内部领用记录。今天现场看到的操作员工劳动防护用品手套佩戴齐全；防止高空坠落，在有坠落风险的工作场所安装了1米高的护栏，同时加强防坠落教育。防止硫酸灼伤要求需接触硫酸或中毒作业时必须佩带防酸服、防酸鞋、防酸口罩、面罩等防护用品，班组长检查确认后方可作业同时加强防酸防中毒教育培训，提高防范意识。职业病预防控制。操作工操作时必须佩带好规定的劳动保护用品，严格按作业指导书操作，对工作年限长的换普通岗，公司每年按时体检。安全操作隐患检查每月至少1次、现场每天检查操作规范性，防止影响环境和造成职业健康安全隐患的操作等结果基本满足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hint="default" w:ascii="宋体" w:hAnsi="宋体" w:eastAsia="宋体"/>
                <w:b/>
                <w:sz w:val="21"/>
                <w:szCs w:val="21"/>
                <w:lang w:val="en-US" w:eastAsia="zh-CN"/>
              </w:rPr>
            </w:pPr>
            <w:r>
              <w:rPr>
                <w:rFonts w:ascii="宋体" w:hAnsi="宋体"/>
                <w:b/>
                <w:sz w:val="21"/>
                <w:szCs w:val="21"/>
              </w:rPr>
              <w:t>6.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 xml:space="preserve">) </w:t>
            </w:r>
            <w:r>
              <w:rPr>
                <w:rFonts w:hint="eastAsia" w:ascii="宋体" w:hAnsi="宋体"/>
                <w:b/>
                <w:sz w:val="21"/>
                <w:szCs w:val="21"/>
                <w:lang w:eastAsia="zh-CN"/>
              </w:rPr>
              <w:t>：</w:t>
            </w:r>
            <w:r>
              <w:rPr>
                <w:rFonts w:hint="eastAsia" w:ascii="宋体" w:hAnsi="宋体"/>
                <w:b/>
                <w:sz w:val="21"/>
                <w:szCs w:val="21"/>
                <w:lang w:val="en-US" w:eastAsia="zh-CN"/>
              </w:rPr>
              <w:t>无</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5"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7. OHSMS</w:t>
            </w:r>
            <w:r>
              <w:rPr>
                <w:rFonts w:hint="eastAsia" w:ascii="宋体" w:hAnsi="宋体"/>
                <w:b/>
                <w:sz w:val="21"/>
                <w:szCs w:val="21"/>
              </w:rPr>
              <w:t>是否按规定对职业健康安全项目进行定期测量，结果是否满足相关要求：</w:t>
            </w:r>
          </w:p>
          <w:p>
            <w:pPr>
              <w:spacing w:line="300" w:lineRule="exact"/>
              <w:rPr>
                <w:rFonts w:ascii="宋体" w:hAnsi="宋体"/>
                <w:b/>
                <w:sz w:val="21"/>
                <w:szCs w:val="21"/>
              </w:rPr>
            </w:pPr>
          </w:p>
          <w:p>
            <w:pPr>
              <w:spacing w:line="240" w:lineRule="exact"/>
              <w:rPr>
                <w:rFonts w:ascii="宋体" w:hAnsi="宋体"/>
                <w:b/>
                <w:sz w:val="21"/>
                <w:szCs w:val="21"/>
              </w:rPr>
            </w:pPr>
            <w:r>
              <w:rPr>
                <w:rFonts w:hint="eastAsia" w:ascii="Times New Roman" w:hAnsi="Times New Roman" w:eastAsia="宋体" w:cs="Times New Roman"/>
                <w:bCs/>
                <w:color w:val="000000" w:themeColor="text1"/>
                <w:sz w:val="20"/>
                <w:szCs w:val="20"/>
                <w:lang w:val="en-US" w:eastAsia="zh-CN"/>
              </w:rPr>
              <w:t>公司定期对职业健康安全管理体系运行进行检查，结果基本满足相关要求。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default" w:ascii="宋体" w:hAnsi="宋体" w:eastAsia="宋体"/>
                <w:b/>
                <w:sz w:val="21"/>
                <w:szCs w:val="21"/>
                <w:lang w:val="en-US" w:eastAsia="zh-CN"/>
              </w:rPr>
            </w:pPr>
            <w:r>
              <w:rPr>
                <w:rFonts w:ascii="宋体" w:hAnsi="宋体"/>
                <w:b/>
                <w:sz w:val="21"/>
                <w:szCs w:val="21"/>
              </w:rPr>
              <w:t>8.OHSMS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r>
              <w:rPr>
                <w:rFonts w:hint="eastAsia" w:ascii="宋体" w:hAnsi="宋体"/>
                <w:b/>
                <w:sz w:val="21"/>
                <w:szCs w:val="21"/>
                <w:lang w:eastAsia="zh-CN"/>
              </w:rPr>
              <w:t>：</w:t>
            </w:r>
            <w:r>
              <w:rPr>
                <w:rFonts w:hint="eastAsia" w:ascii="宋体" w:hAnsi="宋体"/>
                <w:b/>
                <w:sz w:val="21"/>
                <w:szCs w:val="21"/>
                <w:lang w:val="en-US" w:eastAsia="zh-CN"/>
              </w:rPr>
              <w:t>无</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sz w:val="20"/>
              </w:rPr>
            </w:pPr>
          </w:p>
        </w:tc>
        <w:tc>
          <w:tcPr>
            <w:tcW w:w="9198" w:type="dxa"/>
          </w:tcPr>
          <w:p>
            <w:pPr>
              <w:widowControl/>
              <w:spacing w:line="240" w:lineRule="exact"/>
              <w:rPr>
                <w:rFonts w:hint="eastAsia" w:ascii="宋体" w:hAnsi="宋体" w:eastAsia="宋体"/>
                <w:b/>
                <w:sz w:val="21"/>
                <w:szCs w:val="21"/>
                <w:lang w:val="en-US" w:eastAsia="zh-CN"/>
              </w:rPr>
            </w:pPr>
            <w:r>
              <w:rPr>
                <w:rFonts w:ascii="宋体" w:hAnsi="宋体"/>
                <w:b/>
                <w:sz w:val="21"/>
                <w:szCs w:val="21"/>
              </w:rPr>
              <w:t xml:space="preserve">9. </w:t>
            </w: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w:t>
            </w: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r>
              <w:rPr>
                <w:rFonts w:hint="eastAsia"/>
                <w:bCs/>
                <w:color w:val="000000" w:themeColor="text1"/>
                <w:sz w:val="20"/>
                <w:szCs w:val="20"/>
              </w:rPr>
              <w:t>内审</w:t>
            </w:r>
            <w:r>
              <w:rPr>
                <w:rFonts w:hint="eastAsia"/>
                <w:bCs/>
                <w:color w:val="000000" w:themeColor="text1"/>
                <w:sz w:val="20"/>
                <w:szCs w:val="20"/>
                <w:lang w:val="en-US" w:eastAsia="zh-CN"/>
              </w:rPr>
              <w:t>以及去年外审</w:t>
            </w:r>
            <w:r>
              <w:rPr>
                <w:rFonts w:hint="eastAsia"/>
                <w:bCs/>
                <w:color w:val="000000" w:themeColor="text1"/>
                <w:sz w:val="20"/>
                <w:szCs w:val="20"/>
              </w:rPr>
              <w:t>不符合纠正的实施及效果较好。</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eastAsia" w:ascii="宋体" w:hAnsi="宋体" w:eastAsia="宋体"/>
                <w:b/>
                <w:sz w:val="21"/>
                <w:szCs w:val="21"/>
                <w:lang w:val="en-US" w:eastAsia="zh-CN"/>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r>
              <w:rPr>
                <w:rFonts w:hint="eastAsia" w:ascii="宋体" w:hAnsi="宋体"/>
                <w:b/>
                <w:sz w:val="21"/>
                <w:szCs w:val="21"/>
                <w:lang w:val="en-US" w:eastAsia="zh-CN"/>
              </w:rPr>
              <w:t>无</w:t>
            </w:r>
          </w:p>
          <w:p>
            <w:pPr>
              <w:spacing w:line="240" w:lineRule="exact"/>
              <w:rPr>
                <w:rFonts w:ascii="宋体" w:hAnsi="宋体"/>
                <w:b/>
                <w:sz w:val="21"/>
                <w:szCs w:val="21"/>
              </w:rPr>
            </w:pP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default" w:ascii="宋体" w:hAnsi="宋体" w:eastAsia="宋体"/>
                <w:b/>
                <w:sz w:val="21"/>
                <w:szCs w:val="21"/>
                <w:lang w:val="en-US" w:eastAsia="zh-CN"/>
              </w:rPr>
            </w:pPr>
            <w:r>
              <w:rPr>
                <w:rFonts w:ascii="宋体" w:hAnsi="宋体"/>
                <w:b/>
                <w:sz w:val="21"/>
                <w:szCs w:val="21"/>
              </w:rPr>
              <w:t xml:space="preserve">3. </w:t>
            </w:r>
            <w:r>
              <w:rPr>
                <w:rFonts w:hint="eastAsia" w:ascii="宋体" w:hAnsi="宋体"/>
                <w:b/>
                <w:sz w:val="21"/>
                <w:szCs w:val="21"/>
              </w:rPr>
              <w:t>创新情况</w:t>
            </w:r>
            <w:r>
              <w:rPr>
                <w:rFonts w:hint="eastAsia" w:ascii="宋体" w:hAnsi="宋体"/>
                <w:b/>
                <w:sz w:val="21"/>
                <w:szCs w:val="21"/>
                <w:lang w:eastAsia="zh-CN"/>
              </w:rPr>
              <w:t>：</w:t>
            </w: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default" w:ascii="宋体" w:hAnsi="宋体" w:eastAsia="宋体"/>
                <w:b/>
                <w:sz w:val="21"/>
                <w:szCs w:val="21"/>
                <w:lang w:val="en-US" w:eastAsia="zh-CN"/>
              </w:rPr>
            </w:pPr>
            <w:r>
              <w:rPr>
                <w:rFonts w:ascii="宋体" w:hAnsi="宋体"/>
                <w:b/>
                <w:sz w:val="21"/>
                <w:szCs w:val="21"/>
              </w:rPr>
              <w:t xml:space="preserve">4. </w:t>
            </w:r>
            <w:r>
              <w:rPr>
                <w:rFonts w:hint="eastAsia" w:ascii="宋体" w:hAnsi="宋体"/>
                <w:b/>
                <w:sz w:val="21"/>
                <w:szCs w:val="21"/>
              </w:rPr>
              <w:t>上次不符合的整改情况</w:t>
            </w:r>
            <w:r>
              <w:rPr>
                <w:rFonts w:hint="eastAsia" w:ascii="宋体" w:hAnsi="宋体"/>
                <w:b/>
                <w:sz w:val="21"/>
                <w:szCs w:val="21"/>
                <w:lang w:eastAsia="zh-CN"/>
              </w:rPr>
              <w:t>：</w:t>
            </w:r>
            <w:r>
              <w:rPr>
                <w:rFonts w:hint="eastAsia" w:ascii="宋体" w:hAnsi="宋体"/>
                <w:b/>
                <w:sz w:val="21"/>
                <w:szCs w:val="21"/>
                <w:lang w:val="en-US" w:eastAsia="zh-CN"/>
              </w:rPr>
              <w:t>以及整改完毕</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5"/>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lang w:eastAsia="zh-CN"/>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本次审核共开具不符合项报告项；其中</w:t>
      </w:r>
      <w:r>
        <w:rPr>
          <w:rFonts w:ascii="宋体" w:hAnsi="宋体"/>
          <w:b/>
          <w:szCs w:val="21"/>
        </w:rPr>
        <w:pict>
          <v:line id="直接连接符 1" o:spid="_x0000_s2055" o:spt="20" style="position:absolute;left:0pt;margin-left:210pt;margin-top:16.2pt;height:0pt;width:0.05pt;z-index:251658240;mso-width-relative:page;mso-height-relative:page;" coordsize="21600,21600" o:allowincell="f">
            <v:path arrowok="t"/>
            <v:fill focussize="0,0"/>
            <v:stroke/>
            <v:imagedata o:title=""/>
            <o:lock v:ext="edit"/>
          </v:line>
        </w:pict>
      </w:r>
      <w:r>
        <w:rPr>
          <w:rFonts w:hint="eastAsia" w:ascii="宋体" w:hAnsi="宋体"/>
          <w:b/>
          <w:szCs w:val="21"/>
        </w:rPr>
        <w:t>严重不符合项，一般不符合项，观察项项分布在部门条款，见不符合项分布表。（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5"/>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8"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lang w:eastAsia="zh-CN"/>
              </w:rPr>
              <w:t>☑</w:t>
            </w:r>
            <w:r>
              <w:rPr>
                <w:rFonts w:ascii="宋体" w:hAnsi="宋体"/>
                <w:b/>
                <w:szCs w:val="21"/>
              </w:rPr>
              <w:t>QMS</w:t>
            </w:r>
            <w:r>
              <w:rPr>
                <w:rFonts w:hint="eastAsia" w:ascii="宋体" w:hAnsi="宋体"/>
                <w:b/>
                <w:szCs w:val="21"/>
                <w:lang w:eastAsia="zh-CN"/>
              </w:rPr>
              <w:t>□</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41" w:firstLineChars="100"/>
              <w:rPr>
                <w:rFonts w:ascii="宋体" w:hAnsi="宋体"/>
                <w:b/>
                <w:szCs w:val="21"/>
              </w:rPr>
            </w:pPr>
          </w:p>
          <w:p>
            <w:pPr>
              <w:spacing w:line="240" w:lineRule="exact"/>
              <w:rPr>
                <w:rFonts w:ascii="宋体" w:hAnsi="宋体"/>
                <w:b/>
                <w:szCs w:val="21"/>
              </w:rPr>
            </w:pPr>
            <w:r>
              <w:rPr>
                <w:rFonts w:hint="eastAsia" w:ascii="Times New Roman" w:hAnsi="Times New Roman" w:eastAsia="宋体" w:cs="Times New Roman"/>
                <w:bCs/>
                <w:color w:val="000000" w:themeColor="text1"/>
                <w:sz w:val="20"/>
                <w:szCs w:val="20"/>
                <w:lang w:val="en-US" w:eastAsia="zh-CN"/>
              </w:rPr>
              <w:t>该公司建立并运行的质量、环境、职业健康安全管理体系基本符合标准要求，管理目标已完成。对可能存在的重要风险基本可以得到有效控制，重要环境因素和重大危险源基本得到有效控制，没有出现过质量、环境和职业健康安全事故以及顾客、相关方投诉等事件，该公司初步建立了自我完善和自我改进机制，管理体系运行基本有效。现场开具的2项一般不符合在规定的期限内采取纠正措施并经审核组书面验证有效后审核组同意推荐该公司质量、环境、职业健康安全管理体系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lang w:eastAsia="zh-CN"/>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snapToGrid w:val="0"/>
        <w:spacing w:line="360" w:lineRule="exact"/>
        <w:rPr>
          <w:b/>
          <w:bCs/>
          <w:sz w:val="21"/>
          <w:szCs w:val="28"/>
        </w:rPr>
      </w:pPr>
    </w:p>
    <w:p>
      <w:pPr>
        <w:tabs>
          <w:tab w:val="left" w:pos="645"/>
        </w:tabs>
        <w:spacing w:after="163" w:afterLines="50" w:line="360" w:lineRule="exact"/>
        <w:rPr>
          <w:b/>
          <w:sz w:val="16"/>
          <w:szCs w:val="16"/>
        </w:rPr>
      </w:pPr>
      <w:r>
        <w:drawing>
          <wp:anchor distT="0" distB="0" distL="114300" distR="114300" simplePos="0" relativeHeight="251807744" behindDoc="1" locked="0" layoutInCell="1" allowOverlap="1">
            <wp:simplePos x="0" y="0"/>
            <wp:positionH relativeFrom="column">
              <wp:posOffset>2580005</wp:posOffset>
            </wp:positionH>
            <wp:positionV relativeFrom="paragraph">
              <wp:posOffset>101600</wp:posOffset>
            </wp:positionV>
            <wp:extent cx="744855" cy="508000"/>
            <wp:effectExtent l="0" t="0" r="4445" b="0"/>
            <wp:wrapTight wrapText="bothSides">
              <wp:wrapPolygon>
                <wp:start x="0" y="0"/>
                <wp:lineTo x="0" y="21060"/>
                <wp:lineTo x="21361" y="21060"/>
                <wp:lineTo x="21361" y="0"/>
                <wp:lineTo x="0" y="0"/>
              </wp:wrapPolygon>
            </wp:wrapTight>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cstate="print">
                      <a:lum contrast="84000"/>
                    </a:blip>
                    <a:stretch>
                      <a:fillRect/>
                    </a:stretch>
                  </pic:blipFill>
                  <pic:spPr>
                    <a:xfrm>
                      <a:off x="0" y="0"/>
                      <a:ext cx="744855" cy="508000"/>
                    </a:xfrm>
                    <a:prstGeom prst="rect">
                      <a:avLst/>
                    </a:prstGeom>
                    <a:solidFill>
                      <a:srgbClr val="9BBB59">
                        <a:alpha val="56000"/>
                      </a:srgbClr>
                    </a:solidFill>
                    <a:ln>
                      <a:noFill/>
                    </a:ln>
                    <a:effectLst>
                      <a:outerShdw algn="ctr" rotWithShape="0">
                        <a:srgbClr val="808080"/>
                      </a:outerShdw>
                    </a:effectLst>
                  </pic:spPr>
                </pic:pic>
              </a:graphicData>
            </a:graphic>
          </wp:anchor>
        </w:drawing>
      </w:r>
      <w:r>
        <w:rPr>
          <w:rFonts w:hint="eastAsia"/>
          <w:b/>
          <w:sz w:val="26"/>
          <w:szCs w:val="26"/>
        </w:rPr>
        <w:t>十二、审核组签字</w:t>
      </w:r>
    </w:p>
    <w:p>
      <w:pPr>
        <w:snapToGrid w:val="0"/>
        <w:spacing w:line="320" w:lineRule="exact"/>
        <w:ind w:firstLine="527" w:firstLineChars="250"/>
        <w:rPr>
          <w:rFonts w:hint="eastAsia" w:eastAsia="宋体"/>
          <w:b/>
          <w:sz w:val="21"/>
          <w:lang w:val="en-US" w:eastAsia="zh-CN"/>
        </w:rPr>
      </w:pPr>
      <w:r>
        <w:rPr>
          <w:rFonts w:hint="eastAsia"/>
          <w:b/>
          <w:sz w:val="21"/>
        </w:rPr>
        <w:t>审核组组长（签名）：</w:t>
      </w:r>
    </w:p>
    <w:p>
      <w:pPr>
        <w:snapToGrid w:val="0"/>
        <w:spacing w:before="163" w:beforeLines="50" w:line="320" w:lineRule="exact"/>
        <w:ind w:firstLine="527" w:firstLineChars="250"/>
        <w:rPr>
          <w:rFonts w:hint="eastAsia" w:eastAsia="宋体"/>
          <w:b/>
          <w:sz w:val="21"/>
          <w:lang w:val="en-US" w:eastAsia="zh-CN"/>
        </w:rPr>
      </w:pPr>
      <w:r>
        <w:rPr>
          <w:rFonts w:hint="default" w:eastAsia="宋体"/>
          <w:b/>
          <w:sz w:val="21"/>
          <w:lang w:val="en-US" w:eastAsia="zh-CN"/>
        </w:rPr>
        <w:drawing>
          <wp:anchor distT="0" distB="0" distL="114300" distR="114300" simplePos="0" relativeHeight="251743232" behindDoc="0" locked="0" layoutInCell="1" allowOverlap="1">
            <wp:simplePos x="0" y="0"/>
            <wp:positionH relativeFrom="column">
              <wp:posOffset>1880235</wp:posOffset>
            </wp:positionH>
            <wp:positionV relativeFrom="paragraph">
              <wp:posOffset>119380</wp:posOffset>
            </wp:positionV>
            <wp:extent cx="573405" cy="483870"/>
            <wp:effectExtent l="0" t="0" r="10795" b="11430"/>
            <wp:wrapSquare wrapText="bothSides"/>
            <wp:docPr id="3" name="图片 3" descr="73139da3cf9800d5407fc826d7cb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73139da3cf9800d5407fc826d7cb280"/>
                    <pic:cNvPicPr>
                      <a:picLocks noChangeAspect="1"/>
                    </pic:cNvPicPr>
                  </pic:nvPicPr>
                  <pic:blipFill>
                    <a:blip r:embed="rId7">
                      <a:lum bright="6000" contrast="60000"/>
                    </a:blip>
                    <a:stretch>
                      <a:fillRect/>
                    </a:stretch>
                  </pic:blipFill>
                  <pic:spPr>
                    <a:xfrm rot="10800000" flipH="1" flipV="1">
                      <a:off x="0" y="0"/>
                      <a:ext cx="573405" cy="483870"/>
                    </a:xfrm>
                    <a:prstGeom prst="rect">
                      <a:avLst/>
                    </a:prstGeom>
                  </pic:spPr>
                </pic:pic>
              </a:graphicData>
            </a:graphic>
          </wp:anchor>
        </w:drawing>
      </w:r>
      <w:r>
        <w:rPr>
          <w:rFonts w:hint="eastAsia"/>
          <w:b/>
          <w:sz w:val="21"/>
        </w:rPr>
        <w:t>审核组组员（签名）：</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2020.11.20</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lang w:val="en-US" w:eastAsia="zh-CN"/>
        </w:rPr>
        <w:t xml:space="preserve">  </w:t>
      </w:r>
      <w:r>
        <w:rPr>
          <w:b/>
          <w:sz w:val="21"/>
          <w:szCs w:val="21"/>
        </w:rPr>
        <w:t>)</w:t>
      </w:r>
      <w:r>
        <w:rPr>
          <w:rFonts w:hint="eastAsia"/>
          <w:b/>
          <w:sz w:val="21"/>
          <w:szCs w:val="21"/>
        </w:rPr>
        <w:t>个一般不符合，</w:t>
      </w:r>
      <w:r>
        <w:rPr>
          <w:b/>
          <w:sz w:val="21"/>
          <w:szCs w:val="21"/>
        </w:rPr>
        <w:t>(</w:t>
      </w:r>
      <w:r>
        <w:rPr>
          <w:rFonts w:hint="eastAsia"/>
          <w:b/>
          <w:sz w:val="21"/>
          <w:szCs w:val="21"/>
          <w:lang w:val="en-US" w:eastAsia="zh-CN"/>
        </w:rPr>
        <w:t xml:space="preserve">  </w:t>
      </w:r>
      <w:r>
        <w:rPr>
          <w:b/>
          <w:sz w:val="21"/>
          <w:szCs w:val="21"/>
        </w:rPr>
        <w:t>)</w:t>
      </w:r>
      <w:r>
        <w:rPr>
          <w:rFonts w:hint="eastAsia"/>
          <w:b/>
          <w:sz w:val="21"/>
          <w:szCs w:val="21"/>
        </w:rPr>
        <w:t>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rFonts w:hint="eastAsia"/>
          <w:b/>
          <w:sz w:val="21"/>
          <w:szCs w:val="21"/>
        </w:rPr>
      </w:pPr>
      <w:r>
        <w:rPr>
          <w:rFonts w:hint="eastAsia"/>
          <w:b/>
          <w:spacing w:val="-10"/>
          <w:sz w:val="21"/>
          <w:szCs w:val="21"/>
          <w:lang w:eastAsia="zh-CN"/>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2160" w:firstLineChars="900"/>
        <w:rPr>
          <w:rFonts w:hint="eastAsia"/>
          <w:b/>
          <w:sz w:val="21"/>
          <w:szCs w:val="21"/>
        </w:rPr>
      </w:pPr>
      <w:r>
        <w:drawing>
          <wp:anchor distT="0" distB="0" distL="114300" distR="114300" simplePos="0" relativeHeight="251872256" behindDoc="1" locked="0" layoutInCell="1" allowOverlap="1">
            <wp:simplePos x="0" y="0"/>
            <wp:positionH relativeFrom="column">
              <wp:posOffset>1240155</wp:posOffset>
            </wp:positionH>
            <wp:positionV relativeFrom="paragraph">
              <wp:posOffset>189865</wp:posOffset>
            </wp:positionV>
            <wp:extent cx="744855" cy="508000"/>
            <wp:effectExtent l="0" t="0" r="4445" b="0"/>
            <wp:wrapTight wrapText="bothSides">
              <wp:wrapPolygon>
                <wp:start x="0" y="0"/>
                <wp:lineTo x="0" y="21060"/>
                <wp:lineTo x="21361" y="21060"/>
                <wp:lineTo x="21361" y="0"/>
                <wp:lineTo x="0"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cstate="print">
                      <a:lum contrast="84000"/>
                    </a:blip>
                    <a:stretch>
                      <a:fillRect/>
                    </a:stretch>
                  </pic:blipFill>
                  <pic:spPr>
                    <a:xfrm>
                      <a:off x="0" y="0"/>
                      <a:ext cx="744855" cy="508000"/>
                    </a:xfrm>
                    <a:prstGeom prst="rect">
                      <a:avLst/>
                    </a:prstGeom>
                    <a:solidFill>
                      <a:srgbClr val="9BBB59">
                        <a:alpha val="56000"/>
                      </a:srgbClr>
                    </a:solidFill>
                    <a:ln>
                      <a:noFill/>
                    </a:ln>
                    <a:effectLst>
                      <a:outerShdw algn="ctr" rotWithShape="0">
                        <a:srgbClr val="808080"/>
                      </a:outerShdw>
                    </a:effectLst>
                  </pic:spPr>
                </pic:pic>
              </a:graphicData>
            </a:graphic>
          </wp:anchor>
        </w:drawing>
      </w:r>
    </w:p>
    <w:p>
      <w:pPr>
        <w:tabs>
          <w:tab w:val="left" w:pos="6880"/>
          <w:tab w:val="left" w:pos="7740"/>
          <w:tab w:val="left" w:pos="8385"/>
        </w:tabs>
        <w:snapToGrid w:val="0"/>
        <w:spacing w:before="163" w:beforeLines="50"/>
        <w:ind w:firstLine="723" w:firstLineChars="343"/>
        <w:rPr>
          <w:rFonts w:hint="eastAsia"/>
          <w:b/>
          <w:sz w:val="21"/>
          <w:szCs w:val="21"/>
        </w:rPr>
      </w:pPr>
      <w:r>
        <w:rPr>
          <w:rFonts w:hint="eastAsia"/>
          <w:b/>
          <w:sz w:val="21"/>
          <w:szCs w:val="21"/>
        </w:rPr>
        <w:t>组长签字：</w:t>
      </w:r>
    </w:p>
    <w:p>
      <w:pPr>
        <w:tabs>
          <w:tab w:val="left" w:pos="6880"/>
          <w:tab w:val="left" w:pos="7740"/>
          <w:tab w:val="left" w:pos="8385"/>
        </w:tabs>
        <w:snapToGrid w:val="0"/>
        <w:spacing w:before="163" w:beforeLines="50"/>
        <w:ind w:firstLine="723" w:firstLineChars="343"/>
        <w:rPr>
          <w:rFonts w:hint="eastAsia"/>
          <w:b/>
          <w:sz w:val="21"/>
          <w:szCs w:val="21"/>
          <w:lang w:val="en-US" w:eastAsia="zh-CN"/>
        </w:rPr>
      </w:pPr>
      <w:bookmarkStart w:id="23" w:name="_GoBack"/>
      <w:bookmarkEnd w:id="23"/>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2"/>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认证评定负责人：日期：年月日</w:t>
      </w:r>
    </w:p>
    <w:p>
      <w:pPr>
        <w:numPr>
          <w:ilvl w:val="0"/>
          <w:numId w:val="2"/>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批准人（总经理）：日期：年月日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4"/>
        <w:rFonts w:hint="default"/>
      </w:rPr>
    </w:pPr>
    <w:r>
      <w:pict>
        <v:shape id="_x0000_s3073" o:spid="_x0000_s3073"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r>
      <w:pict>
        <v:shape id="文本框 1" o:spid="_x0000_s3074"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4"/>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1">
    <w:nsid w:val="5CC6D258"/>
    <w:multiLevelType w:val="singleLevel"/>
    <w:tmpl w:val="5CC6D258"/>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0D82D32"/>
    <w:rsid w:val="38870A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3"/>
        <o:r id="V:Rule2" type="connector" idref="#_x0000_s2054"/>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semiHidden/>
    <w:uiPriority w:val="99"/>
    <w:pPr>
      <w:tabs>
        <w:tab w:val="center" w:pos="4153"/>
        <w:tab w:val="right" w:pos="8306"/>
      </w:tabs>
      <w:snapToGrid w:val="0"/>
      <w:jc w:val="left"/>
    </w:pPr>
    <w:rPr>
      <w:sz w:val="18"/>
      <w:szCs w:val="18"/>
    </w:rPr>
  </w:style>
  <w:style w:type="paragraph" w:styleId="4">
    <w:name w:val="header"/>
    <w:basedOn w:val="1"/>
    <w:link w:val="11"/>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6">
    <w:name w:val="Table Grid"/>
    <w:basedOn w:val="5"/>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semiHidden/>
    <w:unhideWhenUsed/>
    <w:uiPriority w:val="99"/>
    <w:rPr>
      <w:color w:val="0000FF"/>
      <w:u w:val="single"/>
    </w:rPr>
  </w:style>
  <w:style w:type="character" w:customStyle="1" w:styleId="9">
    <w:name w:val="批注框文本 Char"/>
    <w:link w:val="2"/>
    <w:semiHidden/>
    <w:locked/>
    <w:uiPriority w:val="99"/>
    <w:rPr>
      <w:rFonts w:ascii="Times New Roman" w:hAnsi="Times New Roman" w:eastAsia="宋体" w:cs="Times New Roman"/>
      <w:sz w:val="18"/>
      <w:szCs w:val="18"/>
    </w:rPr>
  </w:style>
  <w:style w:type="character" w:customStyle="1" w:styleId="10">
    <w:name w:val="页脚 Char"/>
    <w:link w:val="3"/>
    <w:semiHidden/>
    <w:qFormat/>
    <w:locked/>
    <w:uiPriority w:val="99"/>
    <w:rPr>
      <w:rFonts w:ascii="Times New Roman" w:hAnsi="Times New Roman" w:eastAsia="宋体" w:cs="Times New Roman"/>
      <w:sz w:val="18"/>
      <w:szCs w:val="18"/>
    </w:rPr>
  </w:style>
  <w:style w:type="character" w:customStyle="1" w:styleId="11">
    <w:name w:val="页眉 Char"/>
    <w:link w:val="4"/>
    <w:locked/>
    <w:uiPriority w:val="0"/>
    <w:rPr>
      <w:sz w:val="18"/>
    </w:rPr>
  </w:style>
  <w:style w:type="character" w:customStyle="1" w:styleId="12">
    <w:name w:val="页眉 Char1"/>
    <w:semiHidden/>
    <w:qFormat/>
    <w:uiPriority w:val="99"/>
    <w:rPr>
      <w:rFonts w:ascii="Times New Roman" w:hAnsi="Times New Roman" w:eastAsia="宋体" w:cs="Times New Roman"/>
      <w:sz w:val="18"/>
      <w:szCs w:val="18"/>
    </w:rPr>
  </w:style>
  <w:style w:type="paragraph" w:styleId="13">
    <w:name w:val="List Paragraph"/>
    <w:basedOn w:val="1"/>
    <w:qFormat/>
    <w:uiPriority w:val="99"/>
    <w:pPr>
      <w:ind w:firstLine="420" w:firstLineChars="200"/>
    </w:pPr>
    <w:rPr>
      <w:sz w:val="21"/>
      <w:szCs w:val="24"/>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3"/>
    <customShpInfo spid="_x0000_s2054"/>
    <customShpInfo spid="_x0000_s205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3739</Characters>
  <Lines>31</Lines>
  <Paragraphs>8</Paragraphs>
  <TotalTime>1</TotalTime>
  <ScaleCrop>false</ScaleCrop>
  <LinksUpToDate>false</LinksUpToDate>
  <CharactersWithSpaces>4386</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开门大吉～ISO认证服务</cp:lastModifiedBy>
  <cp:lastPrinted>2019-04-18T08:15:00Z</cp:lastPrinted>
  <dcterms:modified xsi:type="dcterms:W3CDTF">2020-11-20T23:18:21Z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