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21"/>
        <w:gridCol w:w="197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5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西藏玉龙铜业股份有限公司</w:t>
            </w:r>
            <w:bookmarkEnd w:id="4"/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Q：02.06.02;17.04.04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E：02.06.02;17.04.04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O：02.06.02;17.04.04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lang w:val="en-US" w:eastAsia="zh-CN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93980</wp:posOffset>
                  </wp:positionV>
                  <wp:extent cx="360045" cy="304165"/>
                  <wp:effectExtent l="0" t="0" r="8255" b="635"/>
                  <wp:wrapSquare wrapText="bothSides"/>
                  <wp:docPr id="1" name="图片 1" descr="73139da3cf9800d5407fc826d7cb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3139da3cf9800d5407fc826d7cb28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36004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Q：02.06.02;17.04.04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E：02.06.02;17.04.04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O：02.06.02;17.04.04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宾馆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阴极铜：氧化矿石破碎——浸出工序——萃取工序——电积工序——阴极铜成品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铜精矿：硫化矿石破碎——球磨、半自磨——浮选（粗选——扫选——精选）——沉淀脱水——成品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lang w:eastAsia="zh-CN"/>
              </w:rPr>
              <w:t>阴极铜的关键过程：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萃取工序。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lang w:eastAsia="zh-CN"/>
              </w:rPr>
              <w:t>铜精矿及半生金属矿的关键过程：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浮选。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lang w:eastAsia="zh-CN"/>
              </w:rPr>
              <w:t>阴极铜和铜精矿及半生金属矿需要确认的过程：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无。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废水、地表水、环境空气、声环境、土壤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机械、硫酸灼伤、高空坠物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触电、车辆伤害、电梯困人及坠落等意外伤害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3884.1 铜精矿化学分析方法 第1部分：铜量测定 碘量法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3884.2 铜精矿化学分析方法 第2部分：金和银量的测定火焰原子吸收光谱法和火试金法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14353.1 矿石化学分析方法 第一部分：铜量测定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YS/T 464-2019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阴极铜直读光谱分析方法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《产品质量法》、</w:t>
            </w:r>
            <w:r>
              <w:rPr>
                <w:rFonts w:hint="eastAsia"/>
                <w:b/>
                <w:sz w:val="20"/>
                <w:szCs w:val="22"/>
              </w:rPr>
              <w:t>《中华人民共和国矿山安全法》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《矿山安全法》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 w:eastAsia="宋体"/>
          <w:b/>
          <w:sz w:val="21"/>
          <w:lang w:val="en-US" w:eastAsia="zh-CN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19685</wp:posOffset>
            </wp:positionV>
            <wp:extent cx="465455" cy="392430"/>
            <wp:effectExtent l="0" t="0" r="4445" b="1270"/>
            <wp:wrapSquare wrapText="bothSides"/>
            <wp:docPr id="3" name="图片 3" descr="73139da3cf9800d5407fc826d7cb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139da3cf9800d5407fc826d7cb280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60000"/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6545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24765</wp:posOffset>
            </wp:positionV>
            <wp:extent cx="744855" cy="508000"/>
            <wp:effectExtent l="0" t="0" r="4445" b="0"/>
            <wp:wrapTight wrapText="bothSides">
              <wp:wrapPolygon>
                <wp:start x="0" y="0"/>
                <wp:lineTo x="0" y="21060"/>
                <wp:lineTo x="21361" y="21060"/>
                <wp:lineTo x="2136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508000"/>
                    </a:xfrm>
                    <a:prstGeom prst="rect">
                      <a:avLst/>
                    </a:prstGeom>
                    <a:solidFill>
                      <a:srgbClr val="9BBB59">
                        <a:alpha val="56000"/>
                      </a:srgbClr>
                    </a:solidFill>
                    <a:ln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20.11.17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20.11.17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0A21E9"/>
    <w:rsid w:val="06596631"/>
    <w:rsid w:val="080770A7"/>
    <w:rsid w:val="164735B2"/>
    <w:rsid w:val="1C38141F"/>
    <w:rsid w:val="251A135B"/>
    <w:rsid w:val="2FEB6BB9"/>
    <w:rsid w:val="4CD55DAE"/>
    <w:rsid w:val="53117029"/>
    <w:rsid w:val="7A9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2020-11-20T23:18:27Z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