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0629-2020-EO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天津贵和鸿兴钢结构工程有限公司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Tianjin guihe hongxing steel structure engineering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天津市北辰区小淀镇津围公路东(天津市金马阀门控制设备厂院内)</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300404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17"/>
          <w:szCs w:val="17"/>
          <w:shd w:val="clear" w:fill="F5F5F5"/>
        </w:rPr>
        <w:t>East of Jinwei Road, Xiaodian town, Beichen District, Tianjin (inside the yard of Tianjin Jinma Valve Control Equipment Factory)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天津市武清区崔黄口电子产业园大地世贸西门</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301702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Tianjin Wuqing District Cui Huangkou Electronic Industrial Park Earth World Trade West Gate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91120113300328892J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13802139616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程立江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张淑芬</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E：钢结构加工(法规强制要求范围除外)所涉及的相关环境管理活动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O：钢结构加工(法规强制要求范围除外)所涉及的相关职业健康安全管理活动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ascii="微软雅黑" w:hAnsi="微软雅黑" w:eastAsia="微软雅黑" w:cs="微软雅黑"/>
          <w:i w:val="0"/>
          <w:caps w:val="0"/>
          <w:color w:val="333333"/>
          <w:spacing w:val="0"/>
          <w:sz w:val="17"/>
          <w:szCs w:val="17"/>
          <w:shd w:val="clear" w:fill="F5F5F5"/>
        </w:rPr>
        <w:t>Environmental Management activities related to steel structure processing (except where required by regulations)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ascii="微软雅黑" w:hAnsi="微软雅黑" w:eastAsia="微软雅黑" w:cs="微软雅黑"/>
          <w:i w:val="0"/>
          <w:caps w:val="0"/>
          <w:color w:val="333333"/>
          <w:spacing w:val="0"/>
          <w:sz w:val="17"/>
          <w:szCs w:val="17"/>
          <w:shd w:val="clear" w:fill="F5F5F5"/>
        </w:rPr>
        <w:t>The related occupational health and safety management activities involved in steel structure processing (except the scope of mandatory regulations)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bookmarkStart w:id="17" w:name="_GoBack"/>
      <w:r>
        <w:rPr>
          <w:rFonts w:hint="eastAsia"/>
          <w:b/>
          <w:color w:val="0000FF"/>
          <w:sz w:val="22"/>
          <w:szCs w:val="22"/>
        </w:rPr>
        <w:t>受审核方代表(签字盖章)：</w:t>
      </w:r>
      <w:r>
        <w:rPr>
          <w:rFonts w:hint="eastAsia"/>
          <w:b/>
          <w:color w:val="0000FF"/>
          <w:sz w:val="22"/>
          <w:szCs w:val="22"/>
          <w:lang w:val="en-US" w:eastAsia="zh-CN"/>
        </w:rPr>
        <w:t xml:space="preserve"> </w:t>
      </w:r>
      <w:bookmarkEnd w:id="17"/>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2020.11.16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9091E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2020-11-14T05:26:21Z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