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天津贵和鸿兴钢结构工程有限公司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r>
        <w:rPr>
          <w:rFonts w:hint="eastAsia" w:ascii="楷体" w:hAnsi="楷体" w:eastAsia="楷体"/>
          <w:b/>
          <w:color w:val="000000" w:themeColor="text1"/>
          <w:sz w:val="32"/>
          <w:szCs w:val="32"/>
        </w:rPr>
        <w:sym w:font="Wingdings" w:char="00A8"/>
      </w:r>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r>
        <w:rPr>
          <w:rFonts w:hint="eastAsia" w:ascii="宋体" w:hAnsi="宋体" w:eastAsia="宋体" w:cs="宋体"/>
          <w:b/>
          <w:color w:val="000000" w:themeColor="text1"/>
          <w:sz w:val="32"/>
          <w:szCs w:val="32"/>
        </w:rPr>
        <w:t>▇</w:t>
      </w:r>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1" w:name="S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1"/>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8"/>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李京田</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E:17.06.01</w:t>
            </w:r>
          </w:p>
          <w:p>
            <w:pPr>
              <w:spacing w:line="240" w:lineRule="exact"/>
              <w:jc w:val="center"/>
              <w:rPr>
                <w:b/>
                <w:color w:val="000000" w:themeColor="text1"/>
                <w:sz w:val="20"/>
                <w:szCs w:val="20"/>
              </w:rPr>
            </w:pPr>
            <w:r>
              <w:rPr>
                <w:b/>
                <w:color w:val="000000" w:themeColor="text1"/>
                <w:sz w:val="20"/>
                <w:szCs w:val="20"/>
              </w:rPr>
              <w:t>O:17.06.01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李雅静</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2" w:name="审核依据"/>
      <w:r>
        <w:rPr>
          <w:rFonts w:hint="eastAsia" w:ascii="宋体" w:hAnsi="宋体"/>
          <w:b/>
          <w:color w:val="000000" w:themeColor="text1"/>
          <w:spacing w:val="-10"/>
          <w:sz w:val="20"/>
          <w:szCs w:val="20"/>
        </w:rPr>
        <w:t>E：GB/T 24001-2016/ISO14001:2015,O：GB/T45001-2020 / ISO45001：2018</w:t>
      </w:r>
      <w:bookmarkEnd w:id="2"/>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天津贵和鸿兴钢结构工程有限公司</w:t>
            </w:r>
          </w:p>
        </w:tc>
        <w:tc>
          <w:tcPr>
            <w:tcW w:w="1134" w:type="dxa"/>
            <w:gridSpan w:val="3"/>
            <w:vAlign w:val="top"/>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top"/>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天津市北辰区小淀镇津围公路东(天津市金马阀门控制设备厂院内)</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vAlign w:val="top"/>
          </w:tcPr>
          <w:p>
            <w:pPr>
              <w:spacing w:line="320" w:lineRule="exact"/>
              <w:rPr>
                <w:rFonts w:ascii="宋体" w:hAnsi="宋体" w:eastAsia="宋体" w:cs="Times New Roman"/>
                <w:b/>
                <w:color w:val="000000" w:themeColor="text1"/>
                <w:spacing w:val="-20"/>
                <w:kern w:val="2"/>
                <w:sz w:val="20"/>
                <w:szCs w:val="20"/>
                <w:lang w:val="en-US" w:eastAsia="zh-CN" w:bidi="ar-SA"/>
              </w:rPr>
            </w:pPr>
            <w:r>
              <w:rPr>
                <w:rFonts w:ascii="宋体" w:hAnsi="宋体"/>
                <w:b/>
                <w:color w:val="000000" w:themeColor="text1"/>
                <w:spacing w:val="-20"/>
                <w:sz w:val="20"/>
                <w:szCs w:val="20"/>
              </w:rPr>
              <w:t>300404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vAlign w:val="top"/>
          </w:tcPr>
          <w:p>
            <w:pPr>
              <w:spacing w:line="320" w:lineRule="exact"/>
              <w:rPr>
                <w:rFonts w:ascii="宋体" w:hAnsi="宋体"/>
                <w:b/>
                <w:color w:val="000000" w:themeColor="text1"/>
                <w:sz w:val="20"/>
                <w:szCs w:val="20"/>
              </w:rPr>
            </w:pPr>
            <w:r>
              <w:rPr>
                <w:rFonts w:ascii="宋体" w:hAnsi="宋体"/>
                <w:b/>
                <w:color w:val="000000" w:themeColor="text1"/>
                <w:sz w:val="20"/>
                <w:szCs w:val="20"/>
              </w:rPr>
              <w:t>天津市武清区崔黄口电子产业园大地世贸西门</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vAlign w:val="top"/>
          </w:tcPr>
          <w:p>
            <w:pPr>
              <w:spacing w:line="320" w:lineRule="exact"/>
              <w:rPr>
                <w:rFonts w:ascii="宋体" w:hAnsi="宋体" w:eastAsia="宋体" w:cs="Times New Roman"/>
                <w:b/>
                <w:color w:val="000000" w:themeColor="text1"/>
                <w:kern w:val="2"/>
                <w:sz w:val="20"/>
                <w:szCs w:val="20"/>
                <w:lang w:val="en-US" w:eastAsia="zh-CN" w:bidi="ar-SA"/>
              </w:rPr>
            </w:pPr>
            <w:r>
              <w:rPr>
                <w:rFonts w:ascii="宋体" w:hAnsi="宋体"/>
                <w:b/>
                <w:color w:val="000000" w:themeColor="text1"/>
                <w:sz w:val="20"/>
                <w:szCs w:val="20"/>
              </w:rPr>
              <w:t>301702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vAlign w:val="top"/>
          </w:tcPr>
          <w:p>
            <w:pPr>
              <w:spacing w:line="320" w:lineRule="exact"/>
              <w:rPr>
                <w:rFonts w:ascii="宋体" w:hAnsi="宋体" w:eastAsia="宋体" w:cs="Times New Roman"/>
                <w:b/>
                <w:color w:val="000000" w:themeColor="text1"/>
                <w:spacing w:val="-20"/>
                <w:kern w:val="2"/>
                <w:sz w:val="20"/>
                <w:szCs w:val="20"/>
                <w:lang w:val="en-US" w:eastAsia="zh-CN" w:bidi="ar-SA"/>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eastAsia="宋体" w:cs="Times New Roman"/>
                <w:b/>
                <w:color w:val="000000" w:themeColor="text1"/>
                <w:kern w:val="2"/>
                <w:sz w:val="20"/>
                <w:szCs w:val="20"/>
                <w:lang w:val="en-US" w:eastAsia="zh-CN" w:bidi="ar-SA"/>
              </w:rPr>
            </w:pPr>
            <w:r>
              <w:rPr>
                <w:rFonts w:ascii="宋体" w:hAnsi="宋体"/>
                <w:b/>
                <w:color w:val="000000" w:themeColor="text1"/>
                <w:sz w:val="20"/>
                <w:szCs w:val="20"/>
              </w:rPr>
              <w:t>刘玉香</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13802139616</w:t>
            </w:r>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程立江</w:t>
            </w:r>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3" w:name="最高管理者"/>
            <w:bookmarkEnd w:id="3"/>
            <w:r>
              <w:rPr>
                <w:rFonts w:hint="eastAsia"/>
              </w:rPr>
              <w:t>刘涛</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r>
              <w:rPr>
                <w:rFonts w:ascii="宋体" w:hAnsi="宋体"/>
                <w:b/>
                <w:color w:val="000000" w:themeColor="text1"/>
                <w:sz w:val="20"/>
                <w:szCs w:val="20"/>
              </w:rPr>
              <w:t>张淑芬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vAlign w:val="top"/>
          </w:tcPr>
          <w:p>
            <w:pPr>
              <w:spacing w:line="320" w:lineRule="exact"/>
              <w:rPr>
                <w:rFonts w:ascii="宋体" w:hAnsi="宋体"/>
                <w:b/>
                <w:color w:val="000000" w:themeColor="text1"/>
                <w:sz w:val="20"/>
                <w:szCs w:val="20"/>
                <w:u w:val="single"/>
              </w:rPr>
            </w:pPr>
            <w:r>
              <w:rPr>
                <w:rFonts w:ascii="宋体" w:hAnsi="宋体"/>
                <w:b/>
                <w:color w:val="000000" w:themeColor="text1"/>
                <w:sz w:val="20"/>
                <w:szCs w:val="20"/>
              </w:rPr>
              <w:t>E：钢结构加工(法规强制要求范围除外)所涉及的相关环境管理活动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O：钢结构加工(法规强制要求范围除外)所涉及的相关职业健康安全管理活动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vAlign w:val="top"/>
          </w:tcPr>
          <w:p>
            <w:pPr>
              <w:spacing w:line="320" w:lineRule="exact"/>
              <w:rPr>
                <w:rFonts w:ascii="宋体" w:hAnsi="宋体"/>
                <w:b/>
                <w:color w:val="000000" w:themeColor="text1"/>
                <w:sz w:val="20"/>
                <w:szCs w:val="20"/>
              </w:rPr>
            </w:pPr>
            <w:bookmarkStart w:id="4" w:name="专业代码"/>
            <w:r>
              <w:rPr>
                <w:rFonts w:ascii="宋体" w:hAnsi="宋体"/>
                <w:b/>
                <w:color w:val="000000" w:themeColor="text1"/>
                <w:sz w:val="20"/>
                <w:szCs w:val="20"/>
              </w:rPr>
              <w:t>E：17.06.01</w:t>
            </w:r>
          </w:p>
          <w:p>
            <w:pPr>
              <w:spacing w:line="320" w:lineRule="exact"/>
              <w:rPr>
                <w:rFonts w:ascii="宋体" w:hAnsi="宋体"/>
                <w:b/>
                <w:color w:val="000000" w:themeColor="text1"/>
                <w:sz w:val="20"/>
                <w:szCs w:val="20"/>
              </w:rPr>
            </w:pPr>
            <w:r>
              <w:rPr>
                <w:rFonts w:ascii="宋体" w:hAnsi="宋体"/>
                <w:b/>
                <w:color w:val="000000" w:themeColor="text1"/>
                <w:sz w:val="20"/>
                <w:szCs w:val="20"/>
              </w:rPr>
              <w:t>O：17.06.01</w:t>
            </w:r>
            <w:bookmarkEnd w:id="4"/>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eastAsia="zh-CN"/>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5" w:name="体系运行时间"/>
            <w:r>
              <w:rPr>
                <w:rFonts w:ascii="宋体" w:hAnsi="宋体"/>
                <w:b/>
                <w:color w:val="000000" w:themeColor="text1"/>
                <w:sz w:val="20"/>
                <w:szCs w:val="20"/>
              </w:rPr>
              <w:t>2020-0</w:t>
            </w:r>
            <w:r>
              <w:rPr>
                <w:rFonts w:hint="eastAsia" w:ascii="宋体" w:hAnsi="宋体"/>
                <w:b/>
                <w:color w:val="000000" w:themeColor="text1"/>
                <w:sz w:val="20"/>
                <w:szCs w:val="20"/>
                <w:lang w:val="en-US" w:eastAsia="zh-CN"/>
              </w:rPr>
              <w:t>4</w:t>
            </w:r>
            <w:r>
              <w:rPr>
                <w:rFonts w:ascii="宋体" w:hAnsi="宋体"/>
                <w:b/>
                <w:color w:val="000000" w:themeColor="text1"/>
                <w:sz w:val="20"/>
                <w:szCs w:val="20"/>
              </w:rPr>
              <w:t>-10 0:00:00</w:t>
            </w:r>
            <w:bookmarkEnd w:id="5"/>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hint="eastAsia" w:ascii="宋体" w:hAnsi="宋体" w:eastAsia="宋体"/>
                <w:b/>
                <w:color w:val="000000" w:themeColor="text1"/>
                <w:spacing w:val="-20"/>
                <w:sz w:val="20"/>
                <w:szCs w:val="20"/>
                <w:lang w:val="en-US" w:eastAsia="zh-CN"/>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r>
              <w:rPr>
                <w:rFonts w:hint="eastAsia" w:ascii="宋体" w:hAnsi="宋体"/>
                <w:b/>
                <w:color w:val="000000" w:themeColor="text1"/>
                <w:spacing w:val="-20"/>
                <w:sz w:val="20"/>
                <w:szCs w:val="20"/>
                <w:lang w:val="en-US" w:eastAsia="zh-CN"/>
              </w:rPr>
              <w:t>无</w:t>
            </w:r>
          </w:p>
          <w:p>
            <w:pPr>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r>
              <w:rPr>
                <w:rFonts w:hint="eastAsia" w:ascii="宋体" w:hAnsi="宋体"/>
                <w:b/>
                <w:color w:val="000000" w:themeColor="text1"/>
                <w:sz w:val="20"/>
                <w:szCs w:val="20"/>
                <w:lang w:val="en-US" w:eastAsia="zh-CN"/>
              </w:rPr>
              <w:t>无</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3"/>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3"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7200"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3" w:type="dxa"/>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管理层</w:t>
            </w:r>
          </w:p>
        </w:tc>
        <w:tc>
          <w:tcPr>
            <w:tcW w:w="7200" w:type="dxa"/>
          </w:tcPr>
          <w:p>
            <w:pPr>
              <w:jc w:val="left"/>
              <w:rPr>
                <w:rFonts w:ascii="宋体" w:hAnsi="宋体"/>
                <w:b/>
                <w:color w:val="000000" w:themeColor="text1"/>
                <w:spacing w:val="-20"/>
                <w:sz w:val="20"/>
                <w:szCs w:val="20"/>
                <w:u w:val="single"/>
              </w:rPr>
            </w:pPr>
            <w:r>
              <w:rPr>
                <w:rFonts w:hint="default" w:ascii="Times New Roman" w:hAnsi="Times New Roman" w:eastAsia="宋体" w:cs="Times New Roman"/>
                <w:b w:val="0"/>
                <w:bCs/>
                <w:sz w:val="21"/>
                <w:szCs w:val="21"/>
              </w:rPr>
              <w:t>组织及其环境；相关方的需求和希望；管理体系的范围；管理体系及其过程；领导作用和承诺；以顾客为关注焦点；管理方针；组织的岗位、职责权限；应对风险和机会的策划；目标和实现计划；变更的策划；资源提供；</w:t>
            </w:r>
            <w:r>
              <w:rPr>
                <w:rFonts w:hint="eastAsia" w:ascii="Times New Roman" w:hAnsi="Times New Roman" w:cs="Times New Roman"/>
                <w:b w:val="0"/>
                <w:bCs/>
                <w:sz w:val="21"/>
                <w:szCs w:val="21"/>
                <w:lang w:val="en-US" w:eastAsia="zh-CN"/>
              </w:rPr>
              <w:t>合规义务；</w:t>
            </w:r>
            <w:r>
              <w:rPr>
                <w:rFonts w:hint="default" w:ascii="Times New Roman" w:hAnsi="Times New Roman" w:eastAsia="宋体" w:cs="Times New Roman"/>
                <w:b w:val="0"/>
                <w:bCs/>
                <w:sz w:val="21"/>
                <w:szCs w:val="21"/>
              </w:rPr>
              <w:t>危险源辨识、风险评价；合规性评价；监视和测量总则；管理评审；总则；持续改进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3" w:type="dxa"/>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sz w:val="21"/>
                <w:szCs w:val="21"/>
                <w:lang w:val="en-US" w:eastAsia="zh-CN"/>
              </w:rPr>
            </w:pPr>
            <w:r>
              <w:rPr>
                <w:rFonts w:hint="eastAsia" w:cs="Times New Roman"/>
                <w:sz w:val="21"/>
                <w:szCs w:val="21"/>
                <w:lang w:val="en-US" w:eastAsia="zh-CN"/>
              </w:rPr>
              <w:t>综合</w:t>
            </w:r>
            <w:r>
              <w:rPr>
                <w:rFonts w:hint="eastAsia" w:ascii="Times New Roman" w:hAnsi="Times New Roman" w:eastAsia="宋体" w:cs="Times New Roman"/>
                <w:sz w:val="21"/>
                <w:szCs w:val="21"/>
                <w:lang w:val="en-US" w:eastAsia="zh-CN"/>
              </w:rPr>
              <w:t>部</w:t>
            </w:r>
          </w:p>
        </w:tc>
        <w:tc>
          <w:tcPr>
            <w:tcW w:w="7200" w:type="dxa"/>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组织的岗位、职责权限；目标、方案；环境因素/危险源识别评价；合规义务；组织知识；人员</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能力；意识；沟通；文件化信息；文件总则、文件和记录控制；变更的控制；应急准备和响应</w:t>
            </w:r>
            <w:r>
              <w:rPr>
                <w:rFonts w:hint="eastAsia" w:ascii="Times New Roman" w:hAnsi="Times New Roman" w:cs="Times New Roman"/>
                <w:sz w:val="21"/>
                <w:szCs w:val="21"/>
                <w:lang w:eastAsia="zh-CN"/>
              </w:rPr>
              <w:t>；</w:t>
            </w:r>
            <w:r>
              <w:rPr>
                <w:rFonts w:hint="default" w:ascii="Times New Roman" w:hAnsi="Times New Roman" w:eastAsia="宋体" w:cs="Times New Roman"/>
                <w:sz w:val="21"/>
                <w:szCs w:val="21"/>
              </w:rPr>
              <w:t>合规性评价；内部审核；不合格及纠正措施控制</w:t>
            </w:r>
            <w:r>
              <w:rPr>
                <w:rFonts w:hint="eastAsia" w:ascii="Times New Roman" w:hAnsi="Times New Roman" w:cs="Times New Roman"/>
                <w:sz w:val="21"/>
                <w:szCs w:val="21"/>
                <w:lang w:eastAsia="zh-CN"/>
              </w:rPr>
              <w:t>；</w:t>
            </w:r>
          </w:p>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3" w:type="dxa"/>
          </w:tcPr>
          <w:p>
            <w:pPr>
              <w:keepNext w:val="0"/>
              <w:keepLines w:val="0"/>
              <w:pageBreakBefore w:val="0"/>
              <w:widowControl w:val="0"/>
              <w:kinsoku/>
              <w:wordWrap/>
              <w:overflowPunct/>
              <w:topLinePunct w:val="0"/>
              <w:autoSpaceDE/>
              <w:autoSpaceDN/>
              <w:bidi w:val="0"/>
              <w:spacing w:line="300" w:lineRule="exact"/>
              <w:jc w:val="center"/>
              <w:textAlignment w:val="auto"/>
              <w:rPr>
                <w:rFonts w:hint="default" w:ascii="Times New Roman" w:hAnsi="Times New Roman" w:eastAsia="宋体" w:cs="Times New Roman"/>
                <w:sz w:val="21"/>
                <w:szCs w:val="21"/>
                <w:lang w:val="en-US" w:eastAsia="zh-CN"/>
              </w:rPr>
            </w:pPr>
            <w:r>
              <w:rPr>
                <w:rFonts w:hint="eastAsia" w:ascii="Times New Roman" w:hAnsi="Times New Roman" w:eastAsia="宋体" w:cs="Times New Roman"/>
                <w:sz w:val="21"/>
                <w:szCs w:val="21"/>
                <w:lang w:val="en-US" w:eastAsia="zh-CN"/>
              </w:rPr>
              <w:t>生产部</w:t>
            </w:r>
          </w:p>
        </w:tc>
        <w:tc>
          <w:tcPr>
            <w:tcW w:w="7200" w:type="dxa"/>
          </w:tcPr>
          <w:p>
            <w:pPr>
              <w:keepNext w:val="0"/>
              <w:keepLines w:val="0"/>
              <w:pageBreakBefore w:val="0"/>
              <w:widowControl w:val="0"/>
              <w:kinsoku/>
              <w:wordWrap/>
              <w:overflowPunct/>
              <w:topLinePunct w:val="0"/>
              <w:autoSpaceDE/>
              <w:autoSpaceDN/>
              <w:bidi w:val="0"/>
              <w:spacing w:line="300" w:lineRule="exac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组织的岗位、职责权限；目标、方案；环境因素/危险源识别评价；基础设施；运行环境；监视和测量资源；运行的策划和控制；</w:t>
            </w:r>
            <w:r>
              <w:rPr>
                <w:rFonts w:hint="default" w:ascii="Times New Roman" w:hAnsi="Times New Roman" w:eastAsia="宋体" w:cs="Times New Roman"/>
                <w:sz w:val="21"/>
                <w:szCs w:val="21"/>
                <w:lang w:val="en-US" w:eastAsia="zh-CN"/>
              </w:rPr>
              <w:t>产品和服务的设计和开发；</w:t>
            </w:r>
            <w:r>
              <w:rPr>
                <w:rFonts w:hint="default" w:ascii="Times New Roman" w:hAnsi="Times New Roman" w:eastAsia="宋体" w:cs="Times New Roman"/>
                <w:sz w:val="21"/>
                <w:szCs w:val="21"/>
              </w:rPr>
              <w:t>外部提供的过程、产品和服务的控制；</w:t>
            </w:r>
            <w:r>
              <w:rPr>
                <w:rFonts w:hint="eastAsia" w:ascii="Times New Roman" w:hAnsi="Times New Roman" w:cs="Times New Roman"/>
                <w:sz w:val="21"/>
                <w:szCs w:val="21"/>
                <w:lang w:val="en-US" w:eastAsia="zh-CN"/>
              </w:rPr>
              <w:t>服务过程的控制；</w:t>
            </w:r>
            <w:r>
              <w:rPr>
                <w:rFonts w:hint="default" w:ascii="Times New Roman" w:hAnsi="Times New Roman" w:eastAsia="宋体" w:cs="Times New Roman"/>
                <w:sz w:val="21"/>
                <w:szCs w:val="21"/>
              </w:rPr>
              <w:t>标识和可追溯性；产品防护；</w:t>
            </w:r>
            <w:r>
              <w:rPr>
                <w:rFonts w:hint="eastAsia" w:ascii="Times New Roman" w:hAnsi="Times New Roman" w:cs="Times New Roman"/>
                <w:sz w:val="21"/>
                <w:szCs w:val="21"/>
                <w:lang w:val="en-US" w:eastAsia="zh-CN"/>
              </w:rPr>
              <w:t>产品和服务的放行；不合格品的控制；</w:t>
            </w:r>
            <w:r>
              <w:rPr>
                <w:rFonts w:hint="default" w:ascii="Times New Roman" w:hAnsi="Times New Roman" w:eastAsia="宋体" w:cs="Times New Roman"/>
                <w:sz w:val="21"/>
                <w:szCs w:val="21"/>
              </w:rPr>
              <w:t>运行控制；应急准备和响应</w:t>
            </w:r>
          </w:p>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3" w:type="dxa"/>
            <w:vAlign w:val="top"/>
          </w:tcPr>
          <w:p>
            <w:pPr>
              <w:jc w:val="center"/>
              <w:rPr>
                <w:rFonts w:hint="eastAsia" w:ascii="宋体" w:hAnsi="宋体" w:eastAsia="宋体" w:cs="Times New Roman"/>
                <w:b w:val="0"/>
                <w:bCs/>
                <w:color w:val="000000" w:themeColor="text1"/>
                <w:kern w:val="2"/>
                <w:sz w:val="20"/>
                <w:szCs w:val="20"/>
                <w:lang w:val="en-US" w:eastAsia="zh-CN" w:bidi="ar-SA"/>
              </w:rPr>
            </w:pPr>
            <w:r>
              <w:rPr>
                <w:rFonts w:hint="eastAsia" w:ascii="宋体" w:hAnsi="宋体"/>
                <w:b w:val="0"/>
                <w:bCs/>
                <w:color w:val="000000" w:themeColor="text1"/>
                <w:sz w:val="20"/>
                <w:szCs w:val="20"/>
                <w:lang w:val="en-US" w:eastAsia="zh-CN"/>
              </w:rPr>
              <w:t>财务部</w:t>
            </w:r>
          </w:p>
        </w:tc>
        <w:tc>
          <w:tcPr>
            <w:tcW w:w="7200" w:type="dxa"/>
            <w:vAlign w:val="top"/>
          </w:tcPr>
          <w:p>
            <w:pPr>
              <w:jc w:val="left"/>
              <w:rPr>
                <w:rFonts w:hint="default" w:ascii="宋体" w:hAnsi="宋体" w:eastAsia="宋体" w:cs="Times New Roman"/>
                <w:b w:val="0"/>
                <w:bCs/>
                <w:color w:val="000000" w:themeColor="text1"/>
                <w:kern w:val="2"/>
                <w:sz w:val="20"/>
                <w:szCs w:val="20"/>
                <w:lang w:val="en-US" w:eastAsia="zh-CN" w:bidi="ar-SA"/>
              </w:rPr>
            </w:pPr>
            <w:r>
              <w:rPr>
                <w:rFonts w:hint="eastAsia" w:ascii="宋体" w:hAnsi="宋体"/>
                <w:b w:val="0"/>
                <w:bCs/>
                <w:color w:val="000000" w:themeColor="text1"/>
                <w:sz w:val="20"/>
                <w:szCs w:val="20"/>
                <w:lang w:val="en-US" w:eastAsia="zh-CN"/>
              </w:rPr>
              <w:t>环境、职业健康安全资金保障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3" w:type="dxa"/>
            <w:vAlign w:val="top"/>
          </w:tcPr>
          <w:p>
            <w:pPr>
              <w:jc w:val="center"/>
              <w:rPr>
                <w:rFonts w:hint="eastAsia" w:ascii="宋体" w:hAnsi="宋体" w:eastAsia="宋体" w:cs="Times New Roman"/>
                <w:b w:val="0"/>
                <w:bCs/>
                <w:color w:val="000000" w:themeColor="text1"/>
                <w:kern w:val="2"/>
                <w:sz w:val="20"/>
                <w:szCs w:val="20"/>
                <w:lang w:val="en-US" w:eastAsia="zh-CN" w:bidi="ar-SA"/>
              </w:rPr>
            </w:pPr>
            <w:r>
              <w:rPr>
                <w:rFonts w:hint="eastAsia" w:ascii="宋体" w:hAnsi="宋体"/>
                <w:b w:val="0"/>
                <w:bCs/>
                <w:color w:val="000000" w:themeColor="text1"/>
                <w:sz w:val="20"/>
                <w:szCs w:val="20"/>
                <w:lang w:val="en-US" w:eastAsia="zh-CN"/>
              </w:rPr>
              <w:t>职业健康安全事务代表</w:t>
            </w:r>
          </w:p>
        </w:tc>
        <w:tc>
          <w:tcPr>
            <w:tcW w:w="7200" w:type="dxa"/>
            <w:vAlign w:val="top"/>
          </w:tcPr>
          <w:p>
            <w:pPr>
              <w:jc w:val="left"/>
              <w:rPr>
                <w:rFonts w:hint="eastAsia" w:ascii="宋体" w:hAnsi="宋体" w:eastAsia="宋体" w:cs="Times New Roman"/>
                <w:b w:val="0"/>
                <w:bCs/>
                <w:color w:val="000000" w:themeColor="text1"/>
                <w:kern w:val="2"/>
                <w:sz w:val="20"/>
                <w:szCs w:val="20"/>
                <w:lang w:val="en-US" w:eastAsia="zh-CN" w:bidi="ar-SA"/>
              </w:rPr>
            </w:pPr>
            <w:r>
              <w:rPr>
                <w:rFonts w:hint="eastAsia" w:ascii="宋体" w:hAnsi="宋体"/>
                <w:b w:val="0"/>
                <w:bCs/>
                <w:color w:val="000000" w:themeColor="text1"/>
                <w:sz w:val="20"/>
                <w:szCs w:val="20"/>
                <w:lang w:val="en-US" w:eastAsia="zh-CN"/>
              </w:rPr>
              <w:t>与员工利益有关的管理活动。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23" w:type="dxa"/>
            <w:vAlign w:val="top"/>
          </w:tcPr>
          <w:p>
            <w:pPr>
              <w:jc w:val="center"/>
              <w:rPr>
                <w:rFonts w:hint="eastAsia" w:ascii="宋体" w:hAnsi="宋体" w:eastAsia="宋体" w:cs="Times New Roman"/>
                <w:b w:val="0"/>
                <w:bCs/>
                <w:color w:val="000000" w:themeColor="text1"/>
                <w:kern w:val="2"/>
                <w:sz w:val="20"/>
                <w:szCs w:val="20"/>
                <w:lang w:val="en-US" w:eastAsia="zh-CN" w:bidi="ar-SA"/>
              </w:rPr>
            </w:pPr>
          </w:p>
        </w:tc>
        <w:tc>
          <w:tcPr>
            <w:tcW w:w="7200" w:type="dxa"/>
            <w:vAlign w:val="top"/>
          </w:tcPr>
          <w:p>
            <w:pPr>
              <w:jc w:val="left"/>
              <w:rPr>
                <w:rFonts w:hint="eastAsia" w:ascii="宋体" w:hAnsi="宋体" w:eastAsia="宋体" w:cs="Times New Roman"/>
                <w:b w:val="0"/>
                <w:bCs/>
                <w:color w:val="000000" w:themeColor="text1"/>
                <w:kern w:val="2"/>
                <w:sz w:val="20"/>
                <w:szCs w:val="20"/>
                <w:lang w:val="en-US" w:eastAsia="zh-CN" w:bidi="ar-SA"/>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9"/>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9"/>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361"/>
        <w:gridCol w:w="4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361" w:type="dxa"/>
          </w:tcPr>
          <w:p>
            <w:pPr>
              <w:rPr>
                <w:b/>
                <w:color w:val="000000" w:themeColor="text1"/>
                <w:sz w:val="20"/>
                <w:szCs w:val="20"/>
              </w:rPr>
            </w:pPr>
            <w:r>
              <w:rPr>
                <w:rFonts w:hint="eastAsia"/>
                <w:b/>
                <w:color w:val="000000" w:themeColor="text1"/>
                <w:sz w:val="20"/>
                <w:szCs w:val="20"/>
              </w:rPr>
              <w:t>规格</w:t>
            </w:r>
          </w:p>
        </w:tc>
        <w:tc>
          <w:tcPr>
            <w:tcW w:w="4025"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ascii="宋体" w:hAnsi="宋体"/>
                <w:b/>
                <w:color w:val="000000" w:themeColor="text1"/>
                <w:sz w:val="20"/>
                <w:szCs w:val="20"/>
              </w:rPr>
              <w:t>钢结构加工(法规强制要求范围除外)</w:t>
            </w:r>
          </w:p>
        </w:tc>
        <w:tc>
          <w:tcPr>
            <w:tcW w:w="2519" w:type="dxa"/>
          </w:tcPr>
          <w:p>
            <w:pPr>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c>
          <w:tcPr>
            <w:tcW w:w="1361" w:type="dxa"/>
          </w:tcPr>
          <w:p>
            <w:pPr>
              <w:rPr>
                <w:b/>
                <w:color w:val="000000" w:themeColor="text1"/>
                <w:sz w:val="20"/>
                <w:szCs w:val="20"/>
              </w:rPr>
            </w:pPr>
          </w:p>
        </w:tc>
        <w:tc>
          <w:tcPr>
            <w:tcW w:w="4025" w:type="dxa"/>
          </w:tcPr>
          <w:p>
            <w:pPr>
              <w:rPr>
                <w:rFonts w:hint="eastAsia"/>
              </w:rPr>
            </w:pPr>
            <w:r>
              <w:rPr>
                <w:rFonts w:hint="eastAsia"/>
              </w:rPr>
              <w:t>未注尺寸公差GB/T 1804-2000、</w:t>
            </w:r>
          </w:p>
          <w:p>
            <w:pPr>
              <w:rPr>
                <w:rFonts w:hint="eastAsia"/>
              </w:rPr>
            </w:pPr>
            <w:r>
              <w:rPr>
                <w:rFonts w:hint="eastAsia"/>
              </w:rPr>
              <w:t>GB/T 25376-2010</w:t>
            </w:r>
            <w:r>
              <w:rPr>
                <w:rFonts w:hint="eastAsia"/>
              </w:rPr>
              <w:tab/>
            </w:r>
            <w:r>
              <w:rPr>
                <w:rFonts w:hint="eastAsia"/>
              </w:rPr>
              <w:t xml:space="preserve"> 金属切削机床 机械加工件通用技术条件</w:t>
            </w:r>
          </w:p>
          <w:p>
            <w:pPr>
              <w:rPr>
                <w:rFonts w:hint="eastAsia"/>
              </w:rPr>
            </w:pPr>
            <w:r>
              <w:rPr>
                <w:rFonts w:hint="eastAsia"/>
              </w:rPr>
              <w:t>机械加工工艺装备基本术语GB/T 1008-2008、</w:t>
            </w:r>
          </w:p>
          <w:p>
            <w:pPr>
              <w:rPr>
                <w:rFonts w:hint="eastAsia"/>
              </w:rPr>
            </w:pPr>
            <w:r>
              <w:rPr>
                <w:rFonts w:hint="eastAsia"/>
              </w:rPr>
              <w:t>机械加工定位、夹紧符号JB/T 5061-2006、</w:t>
            </w:r>
          </w:p>
          <w:p>
            <w:pPr>
              <w:rPr>
                <w:rFonts w:hint="eastAsia"/>
              </w:rPr>
            </w:pPr>
            <w:r>
              <w:rPr>
                <w:rFonts w:hint="eastAsia"/>
              </w:rPr>
              <w:t>械加工工艺守则JB/T 9168-2006、</w:t>
            </w:r>
          </w:p>
          <w:p>
            <w:pPr>
              <w:rPr>
                <w:rFonts w:hint="eastAsia"/>
              </w:rPr>
            </w:pPr>
            <w:r>
              <w:rPr>
                <w:rFonts w:hint="eastAsia"/>
              </w:rPr>
              <w:t>产品几何技术规范（GPS) 表面结构 轮廓法 表面粗糙度参数及其数值GB/T 1031-2009</w:t>
            </w:r>
          </w:p>
          <w:p>
            <w:pPr>
              <w:rPr>
                <w:rFonts w:hint="eastAsia"/>
              </w:rPr>
            </w:pPr>
            <w:r>
              <w:rPr>
                <w:rFonts w:hint="eastAsia"/>
              </w:rPr>
              <w:t>金属切削机床 机械加工件通用技术条件   JB/T 9872-1999</w:t>
            </w:r>
          </w:p>
          <w:p>
            <w:pPr>
              <w:rPr>
                <w:rFonts w:hint="eastAsia"/>
              </w:rPr>
            </w:pPr>
            <w:r>
              <w:rPr>
                <w:rFonts w:hint="eastAsia"/>
              </w:rPr>
              <w:t>JB/T 12392-2015</w:t>
            </w:r>
            <w:r>
              <w:rPr>
                <w:rFonts w:hint="eastAsia"/>
              </w:rPr>
              <w:tab/>
            </w:r>
            <w:r>
              <w:rPr>
                <w:rFonts w:hint="eastAsia"/>
              </w:rPr>
              <w:t xml:space="preserve"> 机械加工工艺参数表示法</w:t>
            </w:r>
            <w:r>
              <w:rPr>
                <w:rFonts w:hint="eastAsia"/>
              </w:rPr>
              <w:tab/>
            </w:r>
          </w:p>
          <w:p>
            <w:pPr>
              <w:rPr>
                <w:rFonts w:hint="eastAsia"/>
              </w:rPr>
            </w:pPr>
            <w:r>
              <w:rPr>
                <w:rFonts w:hint="eastAsia"/>
              </w:rPr>
              <w:t xml:space="preserve"> JB/T 12393-2015</w:t>
            </w:r>
            <w:r>
              <w:rPr>
                <w:rFonts w:hint="eastAsia"/>
              </w:rPr>
              <w:tab/>
            </w:r>
            <w:r>
              <w:rPr>
                <w:rFonts w:hint="eastAsia"/>
              </w:rPr>
              <w:t xml:space="preserve"> 机械加工工艺方法图形符号</w:t>
            </w:r>
            <w:r>
              <w:rPr>
                <w:rFonts w:hint="eastAsia"/>
              </w:rPr>
              <w:tab/>
            </w:r>
          </w:p>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361" w:type="dxa"/>
          </w:tcPr>
          <w:p>
            <w:pPr>
              <w:rPr>
                <w:b/>
                <w:color w:val="000000" w:themeColor="text1"/>
                <w:sz w:val="20"/>
                <w:szCs w:val="20"/>
              </w:rPr>
            </w:pPr>
          </w:p>
        </w:tc>
        <w:tc>
          <w:tcPr>
            <w:tcW w:w="4025"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361" w:type="dxa"/>
          </w:tcPr>
          <w:p>
            <w:pPr>
              <w:rPr>
                <w:b/>
                <w:color w:val="000000" w:themeColor="text1"/>
                <w:sz w:val="20"/>
                <w:szCs w:val="20"/>
              </w:rPr>
            </w:pPr>
          </w:p>
        </w:tc>
        <w:tc>
          <w:tcPr>
            <w:tcW w:w="4025"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361" w:type="dxa"/>
          </w:tcPr>
          <w:p>
            <w:pPr>
              <w:rPr>
                <w:b/>
                <w:color w:val="000000" w:themeColor="text1"/>
                <w:sz w:val="20"/>
                <w:szCs w:val="20"/>
              </w:rPr>
            </w:pPr>
          </w:p>
        </w:tc>
        <w:tc>
          <w:tcPr>
            <w:tcW w:w="4025"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4</w:t>
      </w:r>
      <w:r>
        <w:rPr>
          <w:rFonts w:hint="eastAsia"/>
          <w:b/>
          <w:color w:val="000000" w:themeColor="text1"/>
          <w:spacing w:val="-10"/>
          <w:szCs w:val="21"/>
        </w:rPr>
        <w:t>月</w:t>
      </w:r>
      <w:bookmarkStart w:id="6" w:name="OLE_LINK1"/>
      <w:r>
        <w:rPr>
          <w:rFonts w:hint="eastAsia"/>
          <w:b/>
          <w:color w:val="000000" w:themeColor="text1"/>
          <w:spacing w:val="-10"/>
          <w:szCs w:val="21"/>
          <w:lang w:val="en-US" w:eastAsia="zh-CN"/>
        </w:rPr>
        <w:t>10</w:t>
      </w:r>
      <w:r>
        <w:rPr>
          <w:rFonts w:hint="eastAsia"/>
          <w:b/>
          <w:color w:val="000000" w:themeColor="text1"/>
          <w:spacing w:val="-10"/>
          <w:szCs w:val="21"/>
        </w:rPr>
        <w:t>日</w:t>
      </w:r>
      <w:bookmarkEnd w:id="6"/>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11</w:t>
      </w:r>
      <w:r>
        <w:rPr>
          <w:rFonts w:hint="eastAsia"/>
          <w:b/>
          <w:color w:val="000000" w:themeColor="text1"/>
          <w:spacing w:val="-10"/>
          <w:szCs w:val="21"/>
        </w:rPr>
        <w:t>月</w:t>
      </w:r>
      <w:r>
        <w:rPr>
          <w:rFonts w:hint="eastAsia"/>
          <w:b/>
          <w:color w:val="000000" w:themeColor="text1"/>
          <w:spacing w:val="-10"/>
          <w:szCs w:val="21"/>
          <w:lang w:val="en-US" w:eastAsia="zh-CN"/>
        </w:rPr>
        <w:t>16</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rPr>
                <w:rFonts w:hint="eastAsia"/>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rPr>
                <w:rFonts w:hint="eastAsia" w:ascii="Times New Roman" w:hAnsi="Times New Roman" w:cs="Times New Roman"/>
                <w:szCs w:val="22"/>
              </w:rPr>
            </w:pPr>
            <w:r>
              <w:rPr>
                <w:rFonts w:hint="eastAsia" w:ascii="Times New Roman" w:hAnsi="Times New Roman" w:cs="Times New Roman"/>
                <w:szCs w:val="22"/>
              </w:rPr>
              <w:t>公司通过对自身服务、规模、能力、财务、市场、管理等现状及行业趋势的分析：确定了影响公司的内外部环境因素，这些因素包括了需要考虑的正面和负面因素或条件。并对已识别的内、外部环境因素的信息进行连续监视和定期评审，判断其影响程度及变化趋势，制定并实施发展战略，确保公司长期稳定的发展。</w:t>
            </w:r>
          </w:p>
          <w:p>
            <w:pPr>
              <w:rPr>
                <w:rFonts w:hint="eastAsia" w:ascii="Times New Roman" w:hAnsi="Times New Roman" w:cs="Times New Roman"/>
                <w:szCs w:val="22"/>
              </w:rPr>
            </w:pPr>
            <w:r>
              <w:rPr>
                <w:rFonts w:hint="eastAsia" w:ascii="Times New Roman" w:hAnsi="Times New Roman" w:cs="Times New Roman"/>
                <w:szCs w:val="22"/>
              </w:rPr>
              <w:t>周边环境：气候、空气和水质量、土地使用、现存污染、资源的可获得性等相关因素公司推行质量、环境、职业健康安全管理体系的目的就是不断提高公司管理水平和市场准入。总经理确定与本公司管理目标和战略方向相关并影响实现管理体系预期结果的各种内部因素（公司的价值观、文化、知识、绩效等相关因素）及公司发展愿景和外部因素（国际、国家、地区和当地的各种法律法规、技术、竞争、文化和社会因素等）。这些因素包括了需要考虑的正面和负面因素或条件。</w:t>
            </w:r>
          </w:p>
          <w:p>
            <w:pPr>
              <w:rPr>
                <w:rFonts w:hint="eastAsia" w:ascii="Times New Roman" w:hAnsi="Times New Roman" w:cs="Times New Roman"/>
                <w:szCs w:val="22"/>
              </w:rPr>
            </w:pPr>
            <w:r>
              <w:rPr>
                <w:rFonts w:hint="eastAsia" w:ascii="Times New Roman" w:hAnsi="Times New Roman" w:cs="Times New Roman"/>
                <w:szCs w:val="22"/>
              </w:rPr>
              <w:t>公司每年办公室根据由公司办公、销售服务等人员从市场、客户、网络等搜集到的信息并结合公司自身业务运作情况进行分析，通过分析对这些内部和外部因素的相关信息进行监视和评审以确保其充分和适宜。</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rPr>
                <w:rFonts w:hint="eastAsia"/>
                <w:b/>
                <w:color w:val="000000" w:themeColor="text1"/>
                <w:sz w:val="20"/>
                <w:szCs w:val="20"/>
              </w:rPr>
            </w:pPr>
            <w:r>
              <w:rPr>
                <w:rFonts w:hint="eastAsia"/>
                <w:b/>
                <w:color w:val="000000" w:themeColor="text1"/>
                <w:sz w:val="20"/>
                <w:szCs w:val="20"/>
              </w:rPr>
              <w:t>相关方需求和期望识别情况</w:t>
            </w:r>
          </w:p>
          <w:p>
            <w:pPr>
              <w:numPr>
                <w:ilvl w:val="0"/>
                <w:numId w:val="0"/>
              </w:numPr>
              <w:rPr>
                <w:rFonts w:hint="eastAsia"/>
              </w:rPr>
            </w:pPr>
            <w:r>
              <w:rPr>
                <w:rFonts w:hint="eastAsia"/>
              </w:rPr>
              <w:t>在公司运营过程中充分考虑相关方方面的期望或要求，识别的相关方有：顾客、最终用户或受益人、业主，股东、员工等。销售部门和相关职能部门通过日常例会、市场活动、现场拜访、产品展销会、客户调查等多种渠道和方式方法随时了解相关方的需求和期望。做为公司经营风险分析和发展机遇的可利用资源。</w:t>
            </w:r>
          </w:p>
          <w:p>
            <w:pPr>
              <w:numPr>
                <w:ilvl w:val="0"/>
                <w:numId w:val="0"/>
              </w:numPr>
              <w:spacing w:line="240" w:lineRule="exact"/>
              <w:rPr>
                <w:rFonts w:hint="eastAsia"/>
              </w:rPr>
            </w:pPr>
            <w:r>
              <w:rPr>
                <w:rFonts w:hint="eastAsia"/>
              </w:rPr>
              <w:t>内外部环境要素识别与评估：在每年的管理评审前，由相关部门负责人进行识别并评估其适宜性。以便于持续满足相关方的需求和期望。</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lang w:eastAsia="zh-CN"/>
              </w:rPr>
              <w:t>□</w:t>
            </w:r>
            <w:r>
              <w:rPr>
                <w:rFonts w:hint="eastAsia" w:ascii="宋体" w:hAnsi="宋体"/>
                <w:b/>
                <w:color w:val="000000" w:themeColor="text1"/>
                <w:sz w:val="20"/>
                <w:szCs w:val="20"/>
              </w:rPr>
              <w:t>质量/</w:t>
            </w:r>
            <w:r>
              <w:rPr>
                <w:rFonts w:hint="eastAsia"/>
                <w:b/>
                <w:color w:val="000000" w:themeColor="text1"/>
                <w:spacing w:val="-10"/>
                <w:sz w:val="20"/>
                <w:szCs w:val="20"/>
                <w:lang w:eastAsia="zh-CN"/>
              </w:rPr>
              <w:t>☑</w:t>
            </w:r>
            <w:r>
              <w:rPr>
                <w:rFonts w:hint="eastAsia" w:ascii="宋体" w:hAnsi="宋体"/>
                <w:b/>
                <w:color w:val="000000" w:themeColor="text1"/>
                <w:sz w:val="20"/>
                <w:szCs w:val="20"/>
              </w:rPr>
              <w:t>环境/</w:t>
            </w:r>
            <w:r>
              <w:rPr>
                <w:rFonts w:hint="eastAsia"/>
                <w:b/>
                <w:color w:val="000000" w:themeColor="text1"/>
                <w:spacing w:val="-10"/>
                <w:sz w:val="20"/>
                <w:szCs w:val="20"/>
                <w:lang w:eastAsia="zh-CN"/>
              </w:rPr>
              <w:t>☑</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rPr>
                <w:rFonts w:hint="eastAsia" w:ascii="Times New Roman" w:hAnsi="Times New Roman" w:cs="Times New Roman"/>
                <w:szCs w:val="22"/>
              </w:rPr>
            </w:pPr>
            <w:r>
              <w:rPr>
                <w:rFonts w:hint="eastAsia" w:ascii="Times New Roman" w:hAnsi="Times New Roman" w:cs="Times New Roman"/>
                <w:szCs w:val="22"/>
              </w:rPr>
              <w:t>经充分考虑本组织特点，公司的</w:t>
            </w:r>
            <w:r>
              <w:rPr>
                <w:rFonts w:hint="eastAsia" w:ascii="Times New Roman" w:hAnsi="Times New Roman" w:cs="Times New Roman"/>
                <w:szCs w:val="22"/>
                <w:lang w:eastAsia="zh-CN"/>
              </w:rPr>
              <w:t>管理</w:t>
            </w:r>
            <w:r>
              <w:rPr>
                <w:rFonts w:hint="eastAsia" w:ascii="Times New Roman" w:hAnsi="Times New Roman" w:cs="Times New Roman"/>
                <w:szCs w:val="22"/>
              </w:rPr>
              <w:t>方针是：</w:t>
            </w:r>
          </w:p>
          <w:p>
            <w:pPr>
              <w:rPr>
                <w:rFonts w:hint="eastAsia"/>
              </w:rPr>
            </w:pPr>
            <w:r>
              <w:rPr>
                <w:rFonts w:hint="eastAsia"/>
              </w:rPr>
              <w:t xml:space="preserve">  质量优良，信誉第一；</w:t>
            </w:r>
          </w:p>
          <w:p>
            <w:pPr>
              <w:rPr>
                <w:rFonts w:hint="eastAsia"/>
              </w:rPr>
            </w:pPr>
            <w:r>
              <w:rPr>
                <w:rFonts w:hint="eastAsia"/>
              </w:rPr>
              <w:t>节能降耗，保护环境；</w:t>
            </w:r>
          </w:p>
          <w:p>
            <w:pPr>
              <w:rPr>
                <w:rFonts w:hint="eastAsia"/>
              </w:rPr>
            </w:pPr>
            <w:r>
              <w:rPr>
                <w:rFonts w:hint="eastAsia"/>
              </w:rPr>
              <w:t>健康安全，以人为本；</w:t>
            </w:r>
          </w:p>
          <w:p>
            <w:pPr>
              <w:rPr>
                <w:rFonts w:hint="eastAsia"/>
              </w:rPr>
            </w:pPr>
            <w:r>
              <w:rPr>
                <w:rFonts w:hint="eastAsia"/>
              </w:rPr>
              <w:t>规范管理，持续改进。</w:t>
            </w:r>
          </w:p>
          <w:p>
            <w:pPr>
              <w:rPr>
                <w:rFonts w:hint="eastAsia"/>
              </w:rPr>
            </w:pPr>
          </w:p>
          <w:p>
            <w:pPr>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imes New Roman" w:hAnsi="Times New Roman" w:cs="Times New Roman"/>
                <w:szCs w:val="22"/>
                <w:lang w:val="en-US" w:eastAsia="zh-CN"/>
              </w:rPr>
              <w:t>通过管理手册的分发使全体员工理解方针，通过内审和管理评审保持方针的适宜性</w:t>
            </w:r>
            <w:r>
              <w:rPr>
                <w:rFonts w:hint="eastAsia" w:asciiTheme="minorEastAsia" w:hAnsiTheme="minorEastAsia" w:eastAsiaTheme="minorEastAsia" w:cstheme="minorEastAsia"/>
                <w:b w:val="0"/>
                <w:bCs w:val="0"/>
                <w:color w:val="auto"/>
                <w:spacing w:val="0"/>
                <w:kern w:val="2"/>
                <w:sz w:val="21"/>
                <w:szCs w:val="21"/>
                <w:lang w:val="en-US" w:eastAsia="zh-CN" w:bidi="ar-SA"/>
              </w:rPr>
              <w:t>。</w:t>
            </w:r>
          </w:p>
          <w:p>
            <w:pPr>
              <w:spacing w:line="240" w:lineRule="exact"/>
              <w:ind w:left="199" w:leftChars="95"/>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pStyle w:val="2"/>
              <w:rPr>
                <w:rFonts w:hint="eastAsia" w:asciiTheme="minorEastAsia" w:hAnsiTheme="minorEastAsia" w:eastAsiaTheme="minorEastAsia" w:cstheme="minorEastAsia"/>
                <w:b w:val="0"/>
                <w:bCs w:val="0"/>
                <w:color w:val="auto"/>
                <w:spacing w:val="0"/>
                <w:kern w:val="2"/>
                <w:sz w:val="21"/>
                <w:szCs w:val="21"/>
                <w:lang w:val="en-US" w:eastAsia="zh-CN" w:bidi="ar-SA"/>
              </w:rPr>
            </w:pPr>
            <w:r>
              <w:rPr>
                <w:b/>
                <w:color w:val="000000" w:themeColor="text1"/>
              </w:rPr>
              <w:t>4、</w:t>
            </w:r>
            <w:r>
              <w:rPr>
                <w:rFonts w:hint="eastAsia"/>
                <w:b/>
                <w:color w:val="000000" w:themeColor="text1"/>
              </w:rPr>
              <w:t>风险识别与控制策划（QMS）</w:t>
            </w:r>
            <w:r>
              <w:rPr>
                <w:rFonts w:hint="eastAsia" w:asciiTheme="minorEastAsia" w:hAnsiTheme="minorEastAsia" w:eastAsiaTheme="minorEastAsia" w:cstheme="minorEastAsia"/>
                <w:b w:val="0"/>
                <w:bCs w:val="0"/>
                <w:color w:val="auto"/>
                <w:spacing w:val="0"/>
                <w:kern w:val="2"/>
                <w:sz w:val="21"/>
                <w:szCs w:val="21"/>
                <w:lang w:val="en-US" w:eastAsia="zh-CN" w:bidi="ar-SA"/>
              </w:rPr>
              <w:t>制定了《风险和机遇的应对控制程序》，明确风险和机遇事件的识别方法/途径、风险和机遇事件的评估方式、制定主要风险和机遇事件的应对措施的要求、评价这些措施有效性的方法。</w:t>
            </w:r>
          </w:p>
          <w:p>
            <w:pPr>
              <w:pStyle w:val="2"/>
              <w:rPr>
                <w:rFonts w:hint="eastAsia" w:asciiTheme="minorEastAsia" w:hAnsiTheme="minorEastAsia" w:eastAsiaTheme="minorEastAsia" w:cstheme="minorEastAsia"/>
                <w:b w:val="0"/>
                <w:bCs w:val="0"/>
                <w:color w:val="auto"/>
                <w:spacing w:val="0"/>
                <w:kern w:val="2"/>
                <w:sz w:val="21"/>
                <w:szCs w:val="21"/>
                <w:lang w:val="en-US" w:eastAsia="zh-CN" w:bidi="ar-SA"/>
              </w:rPr>
            </w:pPr>
            <w:r>
              <w:rPr>
                <w:rFonts w:hint="eastAsia" w:asciiTheme="minorEastAsia" w:hAnsiTheme="minorEastAsia" w:eastAsiaTheme="minorEastAsia" w:cstheme="minorEastAsia"/>
                <w:b w:val="0"/>
                <w:bCs w:val="0"/>
                <w:color w:val="auto"/>
                <w:spacing w:val="0"/>
                <w:kern w:val="2"/>
                <w:sz w:val="21"/>
                <w:szCs w:val="21"/>
                <w:lang w:val="en-US" w:eastAsia="zh-CN" w:bidi="ar-SA"/>
              </w:rPr>
              <w:t>提供了“2020年度 SWOT经营环境分析及对策报告”，对影响公司经营和发展的各种因素（内外部环境、相关方要求等）进行分析，确定需要应对的风险和机遇</w:t>
            </w:r>
          </w:p>
          <w:p>
            <w:pPr>
              <w:spacing w:line="240" w:lineRule="exact"/>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41" w:hanging="211" w:hangingChars="100"/>
              <w:rPr>
                <w:rFonts w:hint="eastAsia" w:ascii="宋体" w:hAnsi="宋体"/>
                <w:b/>
                <w:szCs w:val="21"/>
              </w:rPr>
            </w:pPr>
            <w:r>
              <w:rPr>
                <w:rFonts w:hint="eastAsia" w:ascii="宋体" w:hAnsi="宋体"/>
                <w:b/>
                <w:szCs w:val="21"/>
              </w:rPr>
              <w:t>质量管理体系过程有：</w:t>
            </w:r>
          </w:p>
          <w:p>
            <w:pPr>
              <w:pStyle w:val="3"/>
              <w:rPr>
                <w:rFonts w:hint="eastAsia" w:ascii="宋体" w:hAnsi="宋体" w:eastAsia="宋体" w:cs="宋体"/>
                <w:b/>
                <w:color w:val="000000"/>
                <w:sz w:val="21"/>
                <w:szCs w:val="21"/>
                <w:lang w:val="en-US" w:eastAsia="zh-CN"/>
              </w:rPr>
            </w:pPr>
            <w:r>
              <w:rPr>
                <w:rFonts w:hint="eastAsia" w:ascii="宋体" w:hAnsi="宋体" w:eastAsia="宋体" w:cs="宋体"/>
                <w:b/>
                <w:color w:val="000000"/>
                <w:sz w:val="21"/>
                <w:szCs w:val="21"/>
                <w:lang w:val="en-US" w:eastAsia="zh-CN"/>
              </w:rPr>
              <w:t>其中关键过程：</w:t>
            </w:r>
          </w:p>
          <w:p>
            <w:pPr>
              <w:pStyle w:val="3"/>
              <w:rPr>
                <w:rFonts w:hint="eastAsia" w:ascii="宋体" w:hAnsi="宋体"/>
                <w:b/>
                <w:szCs w:val="21"/>
              </w:rPr>
            </w:pPr>
            <w:r>
              <w:rPr>
                <w:rFonts w:hint="eastAsia"/>
                <w:lang w:val="en-US" w:eastAsia="zh-CN"/>
              </w:rPr>
              <w:t>特殊过程：</w:t>
            </w:r>
          </w:p>
          <w:p>
            <w:pPr>
              <w:tabs>
                <w:tab w:val="left" w:pos="540"/>
              </w:tabs>
              <w:spacing w:line="300" w:lineRule="exact"/>
              <w:ind w:left="241" w:hanging="211" w:hangingChars="100"/>
              <w:rPr>
                <w:rFonts w:ascii="宋体"/>
                <w:b/>
                <w:szCs w:val="21"/>
                <w:u w:val="single"/>
              </w:rPr>
            </w:pPr>
            <w:r>
              <w:rPr>
                <w:rFonts w:hint="eastAsia" w:ascii="宋体" w:hAnsi="宋体"/>
                <w:b/>
                <w:szCs w:val="21"/>
              </w:rPr>
              <w:t>其中关键过程有</w:t>
            </w:r>
            <w:r>
              <w:rPr>
                <w:rFonts w:ascii="宋体" w:hAnsi="宋体"/>
                <w:b/>
                <w:szCs w:val="21"/>
                <w:u w:val="single"/>
              </w:rPr>
              <w:t xml:space="preserve">  </w:t>
            </w:r>
          </w:p>
          <w:p>
            <w:pPr>
              <w:tabs>
                <w:tab w:val="left" w:pos="540"/>
              </w:tabs>
              <w:spacing w:line="300" w:lineRule="exact"/>
              <w:ind w:left="241" w:hanging="211" w:hangingChars="100"/>
              <w:rPr>
                <w:rFonts w:ascii="宋体"/>
                <w:b/>
                <w:szCs w:val="21"/>
                <w:u w:val="single"/>
              </w:rPr>
            </w:pPr>
            <w:r>
              <w:rPr>
                <w:rFonts w:hint="eastAsia" w:ascii="宋体" w:hAnsi="宋体"/>
                <w:b/>
                <w:szCs w:val="21"/>
              </w:rPr>
              <w:t>需要确认过程</w:t>
            </w:r>
            <w:r>
              <w:rPr>
                <w:rFonts w:ascii="宋体" w:hAnsi="宋体"/>
                <w:b/>
                <w:szCs w:val="21"/>
              </w:rPr>
              <w:t xml:space="preserve"> </w:t>
            </w:r>
            <w:r>
              <w:rPr>
                <w:rFonts w:ascii="宋体" w:hAnsi="宋体"/>
                <w:b/>
                <w:szCs w:val="21"/>
                <w:u w:val="single"/>
              </w:rPr>
              <w:t xml:space="preserve">        </w:t>
            </w:r>
          </w:p>
          <w:p>
            <w:pPr>
              <w:tabs>
                <w:tab w:val="left" w:pos="540"/>
              </w:tabs>
              <w:spacing w:line="300" w:lineRule="exact"/>
              <w:ind w:left="201" w:hanging="210" w:hangingChars="100"/>
              <w:rPr>
                <w:rFonts w:ascii="宋体" w:hAnsi="宋体"/>
                <w:b/>
                <w:color w:val="000000" w:themeColor="text1"/>
                <w:sz w:val="20"/>
                <w:szCs w:val="20"/>
              </w:rPr>
            </w:pPr>
            <w:r>
              <w:pict>
                <v:shape id="_x0000_s2051" o:spid="_x0000_s2051" o:spt="32" type="#_x0000_t32" style="position:absolute;left:0pt;margin-left:55.15pt;margin-top:12.75pt;height:0pt;width:42pt;z-index:2048;mso-width-relative:page;mso-height-relative:page;" o:connectortype="straight" filled="f" coordsize="21600,21600">
                  <v:path arrowok="t"/>
                  <v:fill on="f" focussize="0,0"/>
                  <v:stroke/>
                  <v:imagedata o:title=""/>
                  <o:lock v:ext="edit"/>
                </v:shape>
              </w:pict>
            </w:r>
            <w:r>
              <w:rPr>
                <w:rFonts w:hint="eastAsia" w:ascii="宋体" w:hAnsi="宋体"/>
                <w:b/>
                <w:szCs w:val="21"/>
              </w:rPr>
              <w:t>删减条款是</w:t>
            </w:r>
            <w:r>
              <w:rPr>
                <w:rFonts w:ascii="宋体" w:hAnsi="宋体"/>
                <w:b/>
                <w:szCs w:val="21"/>
              </w:rPr>
              <w:t xml:space="preserve">       </w:t>
            </w:r>
            <w:r>
              <w:rPr>
                <w:rFonts w:hint="eastAsia" w:ascii="宋体" w:hAnsi="宋体"/>
                <w:b/>
                <w:szCs w:val="21"/>
              </w:rPr>
              <w:t>，删减理由：</w:t>
            </w:r>
          </w:p>
          <w:p>
            <w:pPr>
              <w:tabs>
                <w:tab w:val="left" w:pos="540"/>
              </w:tabs>
              <w:spacing w:line="300" w:lineRule="exact"/>
              <w:ind w:left="211" w:hanging="211" w:hangingChars="100"/>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94" w:lineRule="exact"/>
              <w:ind w:firstLine="420" w:firstLineChars="200"/>
              <w:rPr>
                <w:rFonts w:hint="eastAsia"/>
                <w:sz w:val="21"/>
                <w:szCs w:val="21"/>
              </w:rPr>
            </w:pPr>
            <w:r>
              <w:rPr>
                <w:rFonts w:hint="eastAsia"/>
                <w:sz w:val="21"/>
                <w:szCs w:val="21"/>
              </w:rPr>
              <w:t>编制了</w:t>
            </w:r>
            <w:r>
              <w:rPr>
                <w:sz w:val="21"/>
                <w:szCs w:val="21"/>
              </w:rPr>
              <w:t>《环境因素的识别与评价控制程序》</w:t>
            </w:r>
            <w:r>
              <w:rPr>
                <w:rFonts w:hint="eastAsia"/>
                <w:sz w:val="21"/>
                <w:szCs w:val="21"/>
              </w:rPr>
              <w:t>符合标准要求.</w:t>
            </w:r>
          </w:p>
          <w:p>
            <w:pPr>
              <w:rPr>
                <w:rFonts w:ascii="宋体" w:hAnsi="宋体" w:cs="宋体"/>
                <w:kern w:val="0"/>
                <w:szCs w:val="21"/>
              </w:rPr>
            </w:pPr>
            <w:r>
              <w:rPr>
                <w:rFonts w:hint="eastAsia"/>
                <w:sz w:val="21"/>
                <w:szCs w:val="21"/>
              </w:rPr>
              <w:t>提供的“环境因素识别评价表”“重要环境因素清单”， 评价考虑了三种时态现在、过去、将来、三种状态、异常、正常、紧急考虑了法律法规，并进行了评价，</w:t>
            </w:r>
            <w:r>
              <w:rPr>
                <w:rFonts w:hint="eastAsia" w:ascii="宋体" w:hAnsi="宋体"/>
                <w:szCs w:val="21"/>
              </w:rPr>
              <w:t>铁路专用设备、铁路大型养路机械配套转向架、轨道交通车辆的生产</w:t>
            </w:r>
            <w:r>
              <w:rPr>
                <w:rFonts w:hint="eastAsia" w:ascii="宋体" w:hAnsi="宋体" w:cs="宋体"/>
                <w:kern w:val="0"/>
                <w:szCs w:val="21"/>
              </w:rPr>
              <w:t>及相关环境管理活动</w:t>
            </w:r>
          </w:p>
          <w:p>
            <w:pPr>
              <w:ind w:firstLine="420" w:firstLineChars="200"/>
              <w:rPr>
                <w:sz w:val="21"/>
                <w:szCs w:val="21"/>
              </w:rPr>
            </w:pPr>
            <w:r>
              <w:rPr>
                <w:rFonts w:hint="eastAsia"/>
                <w:sz w:val="21"/>
                <w:szCs w:val="21"/>
                <w:lang w:eastAsia="zh-CN"/>
              </w:rPr>
              <w:t>根据企业的生产</w:t>
            </w:r>
            <w:r>
              <w:rPr>
                <w:rFonts w:hint="eastAsia"/>
                <w:sz w:val="21"/>
                <w:szCs w:val="21"/>
              </w:rPr>
              <w:t>服务过程，用打分法考虑了法规符合性、发生频次、影响范围等, 通过定性判断法，共识别出重大环境因素</w:t>
            </w:r>
            <w:r>
              <w:rPr>
                <w:rFonts w:hint="eastAsia"/>
                <w:sz w:val="21"/>
                <w:szCs w:val="21"/>
                <w:lang w:val="en-US" w:eastAsia="zh-CN"/>
              </w:rPr>
              <w:t>4</w:t>
            </w:r>
            <w:r>
              <w:rPr>
                <w:rFonts w:hint="eastAsia"/>
                <w:sz w:val="21"/>
                <w:szCs w:val="21"/>
              </w:rPr>
              <w:t>项：固废排放、火灾</w:t>
            </w:r>
            <w:r>
              <w:rPr>
                <w:rFonts w:hint="eastAsia"/>
                <w:sz w:val="21"/>
                <w:szCs w:val="21"/>
                <w:lang w:eastAsia="zh-CN"/>
              </w:rPr>
              <w:t>、噪声、废气</w:t>
            </w:r>
            <w:r>
              <w:rPr>
                <w:rFonts w:hint="eastAsia"/>
                <w:sz w:val="21"/>
                <w:szCs w:val="21"/>
              </w:rPr>
              <w:t>，评价符合程序要求及公司的实际情况。</w:t>
            </w:r>
          </w:p>
          <w:p>
            <w:pPr>
              <w:spacing w:line="300" w:lineRule="exact"/>
              <w:rPr>
                <w:b/>
                <w:color w:val="000000" w:themeColor="text1"/>
                <w:sz w:val="20"/>
                <w:szCs w:val="20"/>
              </w:rPr>
            </w:pPr>
            <w:r>
              <w:rPr>
                <w:rFonts w:hint="eastAsia"/>
                <w:sz w:val="21"/>
                <w:szCs w:val="21"/>
              </w:rPr>
              <w:t>对重要环境因素的控制措施包括制定管理制度、监督检查、应急预案、培训等。提供《重要环境因素识别清单》，其中</w:t>
            </w:r>
            <w:r>
              <w:rPr>
                <w:rFonts w:hint="eastAsia"/>
                <w:sz w:val="21"/>
                <w:szCs w:val="21"/>
                <w:lang w:eastAsia="zh-CN"/>
              </w:rPr>
              <w:t>生产</w:t>
            </w:r>
            <w:r>
              <w:rPr>
                <w:rFonts w:hint="eastAsia"/>
                <w:sz w:val="21"/>
                <w:szCs w:val="21"/>
              </w:rPr>
              <w:t>涉及的重要环境因素：固废排放、火灾</w:t>
            </w:r>
            <w:r>
              <w:rPr>
                <w:rFonts w:hint="eastAsia"/>
                <w:sz w:val="21"/>
                <w:szCs w:val="21"/>
                <w:lang w:eastAsia="zh-CN"/>
              </w:rPr>
              <w:t>、噪声、废气</w:t>
            </w:r>
            <w:r>
              <w:rPr>
                <w:rFonts w:hint="eastAsia"/>
                <w:sz w:val="21"/>
                <w:szCs w:val="21"/>
              </w:rPr>
              <w:t>，评价基本合理。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ind w:firstLine="402" w:firstLineChars="200"/>
              <w:rPr>
                <w:rFonts w:hint="eastAsia"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ind w:firstLine="420" w:firstLineChars="200"/>
              <w:rPr>
                <w:rFonts w:hint="eastAsia"/>
                <w:sz w:val="21"/>
                <w:szCs w:val="21"/>
              </w:rPr>
            </w:pPr>
            <w:r>
              <w:rPr>
                <w:rFonts w:hint="eastAsia"/>
                <w:sz w:val="21"/>
                <w:szCs w:val="21"/>
                <w:lang w:eastAsia="zh-CN"/>
              </w:rPr>
              <w:t>编制</w:t>
            </w:r>
            <w:r>
              <w:rPr>
                <w:rFonts w:hint="eastAsia"/>
                <w:sz w:val="21"/>
                <w:szCs w:val="21"/>
              </w:rPr>
              <w:t>《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ind w:firstLine="420" w:firstLineChars="200"/>
              <w:rPr>
                <w:sz w:val="21"/>
                <w:szCs w:val="21"/>
              </w:rPr>
            </w:pPr>
            <w:r>
              <w:rPr>
                <w:rFonts w:hint="eastAsia"/>
                <w:sz w:val="21"/>
                <w:szCs w:val="21"/>
              </w:rPr>
              <w:t>提供的：“危险源识别与风险评价表”“不可接受风险源清单”， 评价考虑了将来、状态、可能导致的事件，并进行了评价，用打分法考虑了法规符合性、发生频次、影响范围等, 通过是非法，共识别出不可接受风险</w:t>
            </w:r>
            <w:r>
              <w:rPr>
                <w:rFonts w:hint="eastAsia"/>
                <w:sz w:val="21"/>
                <w:szCs w:val="21"/>
                <w:lang w:val="en-US" w:eastAsia="zh-CN"/>
              </w:rPr>
              <w:t>4</w:t>
            </w:r>
            <w:r>
              <w:rPr>
                <w:rFonts w:hint="eastAsia"/>
                <w:sz w:val="21"/>
                <w:szCs w:val="21"/>
              </w:rPr>
              <w:t>项，涉及：火灾和触电</w:t>
            </w:r>
            <w:r>
              <w:rPr>
                <w:rFonts w:hint="eastAsia"/>
                <w:sz w:val="21"/>
                <w:szCs w:val="21"/>
                <w:lang w:eastAsia="zh-CN"/>
              </w:rPr>
              <w:t>、机械伤害、</w:t>
            </w:r>
            <w:r>
              <w:rPr>
                <w:rFonts w:hint="eastAsia"/>
                <w:sz w:val="21"/>
                <w:szCs w:val="21"/>
                <w:lang w:val="en-US" w:eastAsia="zh-CN"/>
              </w:rPr>
              <w:t>意外伤害、职业病</w:t>
            </w:r>
            <w:r>
              <w:rPr>
                <w:rFonts w:hint="eastAsia"/>
                <w:sz w:val="21"/>
                <w:szCs w:val="21"/>
                <w:lang w:eastAsia="zh-CN"/>
              </w:rPr>
              <w:t>。</w:t>
            </w:r>
            <w:r>
              <w:rPr>
                <w:rFonts w:hint="eastAsia"/>
                <w:sz w:val="21"/>
                <w:szCs w:val="21"/>
              </w:rPr>
              <w:t>评价符合程序要求及公司的实际情况。对危险源的控制措施包括制定管理制度、监督检查、应急预案、培训等。</w:t>
            </w:r>
          </w:p>
          <w:p>
            <w:pPr>
              <w:spacing w:line="300" w:lineRule="exact"/>
              <w:rPr>
                <w:b/>
                <w:color w:val="000000" w:themeColor="text1"/>
                <w:sz w:val="20"/>
                <w:szCs w:val="20"/>
              </w:rPr>
            </w:pPr>
            <w:r>
              <w:rPr>
                <w:rFonts w:hint="eastAsia" w:ascii="Times New Roman" w:hAnsi="Times New Roman" w:eastAsia="宋体" w:cs="Times New Roman"/>
                <w:bCs w:val="0"/>
                <w:spacing w:val="0"/>
                <w:kern w:val="2"/>
                <w:sz w:val="21"/>
                <w:szCs w:val="21"/>
                <w:lang w:val="en-US" w:eastAsia="zh-CN" w:bidi="ar-SA"/>
              </w:rPr>
              <w:t>根据组织经营性质，识别了各部门和场所的危险源，并对危险源进行了评价，评价出不可接受风险，识别基本齐全无遗漏；评价合理。基本了解评价动态变更的及时性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4.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w:t>
            </w:r>
            <w:r>
              <w:rPr>
                <w:rFonts w:hint="eastAsia" w:ascii="宋体" w:hAnsi="宋体"/>
                <w:b/>
                <w:color w:val="000000" w:themeColor="text1"/>
                <w:szCs w:val="21"/>
                <w:lang w:val="en-US" w:eastAsia="zh-CN"/>
              </w:rPr>
              <w:t>120</w:t>
            </w:r>
            <w:r>
              <w:rPr>
                <w:rFonts w:hint="eastAsia" w:ascii="宋体" w:hAnsi="宋体"/>
                <w:b/>
                <w:color w:val="000000" w:themeColor="text1"/>
                <w:szCs w:val="21"/>
              </w:rPr>
              <w:t>项，■法律法规获取充分，□法律法规获取有遗漏，缺少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2"/>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8"/>
              <w:numPr>
                <w:ilvl w:val="0"/>
                <w:numId w:val="3"/>
              </w:numPr>
              <w:tabs>
                <w:tab w:val="left" w:pos="540"/>
              </w:tabs>
              <w:spacing w:line="300" w:lineRule="exact"/>
              <w:ind w:firstLineChars="0"/>
              <w:rPr>
                <w:rFonts w:ascii="宋体" w:hAnsi="宋体"/>
                <w:szCs w:val="21"/>
              </w:rPr>
            </w:pPr>
            <w:r>
              <w:rPr>
                <w:rFonts w:hint="eastAsia" w:ascii="宋体" w:hAnsi="宋体"/>
                <w:b/>
                <w:color w:val="000000" w:themeColor="text1"/>
                <w:szCs w:val="21"/>
              </w:rPr>
              <w:t>法律法规的宣传方式：</w:t>
            </w:r>
            <w:r>
              <w:rPr>
                <w:rFonts w:hint="eastAsia" w:ascii="宋体" w:hAnsi="宋体"/>
                <w:szCs w:val="21"/>
              </w:rPr>
              <w:t>进行发放纸质文件、电子文件的形式</w:t>
            </w:r>
          </w:p>
          <w:p>
            <w:pPr>
              <w:pStyle w:val="18"/>
              <w:numPr>
                <w:ilvl w:val="0"/>
                <w:numId w:val="3"/>
              </w:numPr>
              <w:tabs>
                <w:tab w:val="left" w:pos="540"/>
              </w:tabs>
              <w:spacing w:line="300" w:lineRule="exact"/>
              <w:ind w:firstLineChars="0"/>
              <w:rPr>
                <w:rFonts w:ascii="宋体" w:hAnsi="宋体"/>
                <w:b/>
                <w:szCs w:val="21"/>
              </w:rPr>
            </w:pPr>
            <w:r>
              <w:rPr>
                <w:rFonts w:hint="eastAsia" w:ascii="宋体" w:hAnsi="宋体"/>
                <w:b/>
                <w:color w:val="000000" w:themeColor="text1"/>
                <w:szCs w:val="21"/>
              </w:rPr>
              <w:t>法律法规要求及时更新了</w:t>
            </w:r>
            <w:r>
              <w:rPr>
                <w:rFonts w:hint="eastAsia" w:ascii="宋体" w:hAnsi="宋体"/>
                <w:szCs w:val="21"/>
              </w:rPr>
              <w:t>每年一次</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5.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240" w:lineRule="exact"/>
              <w:rPr>
                <w:rFonts w:ascii="宋体" w:hAnsi="宋体"/>
                <w:b/>
                <w:color w:val="000000" w:themeColor="text1"/>
              </w:rPr>
            </w:pPr>
            <w:r>
              <w:rPr>
                <w:rFonts w:hint="eastAsia"/>
                <w:bCs/>
                <w:szCs w:val="21"/>
              </w:rPr>
              <w:t>在组织各职能和层次上建立了管理目标指标，并制定了相应控制方案。基本适宜公司特点。目标具有可测量性，对目标完成情况进行了考核。对制订的管理方案实施情况定期进行检查。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6.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hint="eastAsia"/>
                <w:bCs/>
                <w:szCs w:val="21"/>
              </w:rPr>
            </w:pPr>
          </w:p>
          <w:p>
            <w:pPr>
              <w:tabs>
                <w:tab w:val="left" w:pos="540"/>
              </w:tabs>
              <w:spacing w:line="240" w:lineRule="exact"/>
              <w:rPr>
                <w:rFonts w:ascii="宋体" w:hAnsi="宋体"/>
                <w:b/>
                <w:color w:val="000000" w:themeColor="text1"/>
                <w:sz w:val="20"/>
                <w:szCs w:val="20"/>
              </w:rPr>
            </w:pPr>
            <w:r>
              <w:rPr>
                <w:rFonts w:hint="eastAsia"/>
                <w:bCs/>
                <w:szCs w:val="21"/>
              </w:rPr>
              <w:t>文审修订后文件符合标准要求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240" w:lineRule="exact"/>
              <w:ind w:firstLine="201" w:firstLineChars="100"/>
              <w:rPr>
                <w:rFonts w:hint="eastAsia" w:ascii="宋体" w:hAnsi="宋体"/>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spacing w:line="240" w:lineRule="exact"/>
              <w:ind w:firstLine="210" w:firstLineChars="100"/>
              <w:rPr>
                <w:rFonts w:hint="eastAsia"/>
                <w:sz w:val="21"/>
                <w:szCs w:val="21"/>
                <w:lang w:eastAsia="zh-CN"/>
              </w:rPr>
            </w:pPr>
            <w:r>
              <w:rPr>
                <w:rFonts w:hint="eastAsia"/>
                <w:sz w:val="21"/>
                <w:szCs w:val="21"/>
              </w:rPr>
              <w:t>该公司员工共</w:t>
            </w:r>
            <w:r>
              <w:rPr>
                <w:rFonts w:hint="eastAsia"/>
                <w:sz w:val="21"/>
                <w:szCs w:val="21"/>
                <w:lang w:val="en-US" w:eastAsia="zh-CN"/>
              </w:rPr>
              <w:t>25</w:t>
            </w:r>
            <w:r>
              <w:rPr>
                <w:rFonts w:hint="eastAsia"/>
                <w:sz w:val="21"/>
                <w:szCs w:val="21"/>
              </w:rPr>
              <w:t>人，管理人员</w:t>
            </w:r>
            <w:r>
              <w:rPr>
                <w:rFonts w:hint="eastAsia"/>
                <w:sz w:val="21"/>
                <w:szCs w:val="21"/>
                <w:lang w:val="en-US" w:eastAsia="zh-CN"/>
              </w:rPr>
              <w:t>2</w:t>
            </w:r>
            <w:r>
              <w:rPr>
                <w:rFonts w:hint="eastAsia"/>
                <w:sz w:val="21"/>
                <w:szCs w:val="21"/>
              </w:rPr>
              <w:t>人。有专业的</w:t>
            </w:r>
            <w:r>
              <w:rPr>
                <w:rFonts w:hint="eastAsia"/>
                <w:sz w:val="21"/>
                <w:szCs w:val="21"/>
                <w:lang w:eastAsia="zh-CN"/>
              </w:rPr>
              <w:t>生产</w:t>
            </w:r>
            <w:r>
              <w:rPr>
                <w:rFonts w:hint="eastAsia"/>
                <w:sz w:val="21"/>
                <w:szCs w:val="21"/>
              </w:rPr>
              <w:t>人员</w:t>
            </w:r>
            <w:r>
              <w:rPr>
                <w:rFonts w:hint="eastAsia"/>
                <w:sz w:val="21"/>
                <w:szCs w:val="21"/>
                <w:lang w:eastAsia="zh-CN"/>
              </w:rPr>
              <w:t>、技术人员</w:t>
            </w:r>
            <w:r>
              <w:rPr>
                <w:rFonts w:hint="eastAsia"/>
                <w:sz w:val="21"/>
                <w:szCs w:val="21"/>
              </w:rPr>
              <w:t>，能</w:t>
            </w:r>
            <w:r>
              <w:rPr>
                <w:rFonts w:hint="eastAsia"/>
                <w:sz w:val="21"/>
                <w:szCs w:val="21"/>
                <w:lang w:eastAsia="zh-CN"/>
              </w:rPr>
              <w:t>有效的</w:t>
            </w:r>
            <w:r>
              <w:rPr>
                <w:rFonts w:hint="eastAsia" w:ascii="宋体" w:hAnsi="宋体"/>
                <w:szCs w:val="21"/>
              </w:rPr>
              <w:t>钢结构加工(法规强制要求范围除外)</w:t>
            </w:r>
            <w:r>
              <w:rPr>
                <w:rFonts w:hint="eastAsia" w:ascii="宋体" w:hAnsi="宋体"/>
                <w:szCs w:val="21"/>
                <w:lang w:val="en-US" w:eastAsia="zh-CN"/>
              </w:rPr>
              <w:t>满足</w:t>
            </w:r>
            <w:r>
              <w:rPr>
                <w:rFonts w:hint="eastAsia"/>
                <w:sz w:val="21"/>
                <w:szCs w:val="21"/>
                <w:lang w:eastAsia="zh-CN"/>
              </w:rPr>
              <w:t>环境及职业健康安全要求</w:t>
            </w:r>
          </w:p>
          <w:p>
            <w:pPr>
              <w:spacing w:line="300" w:lineRule="exact"/>
              <w:rPr>
                <w:b/>
                <w:color w:val="000000" w:themeColor="text1"/>
                <w:sz w:val="20"/>
                <w:szCs w:val="20"/>
              </w:rPr>
            </w:pPr>
          </w:p>
          <w:p>
            <w:pPr>
              <w:spacing w:line="30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rPr>
                <w:rFonts w:hint="eastAsia" w:ascii="宋体" w:hAnsi="宋体"/>
                <w:b/>
                <w:color w:val="000000" w:themeColor="text1"/>
                <w:sz w:val="20"/>
                <w:szCs w:val="20"/>
              </w:rPr>
            </w:pPr>
            <w:r>
              <w:rPr>
                <w:rFonts w:hint="eastAsia" w:ascii="宋体" w:hAnsi="宋体"/>
                <w:b/>
                <w:color w:val="000000" w:themeColor="text1"/>
                <w:sz w:val="20"/>
                <w:szCs w:val="20"/>
              </w:rPr>
              <w:t>设备设施（包括信息系统）</w:t>
            </w:r>
          </w:p>
          <w:p>
            <w:pPr>
              <w:rPr>
                <w:rFonts w:hint="eastAsia" w:ascii="宋体" w:hAnsi="宋体" w:cs="Times New Roman"/>
                <w:color w:val="auto"/>
                <w:kern w:val="2"/>
                <w:sz w:val="18"/>
                <w:szCs w:val="22"/>
                <w:lang w:val="en-US" w:eastAsia="zh-CN" w:bidi="ar-SA"/>
              </w:rPr>
            </w:pPr>
            <w:r>
              <w:rPr>
                <w:rFonts w:hint="eastAsia" w:ascii="宋体" w:hAnsi="宋体"/>
                <w:b/>
                <w:color w:val="000000" w:themeColor="text1"/>
                <w:sz w:val="20"/>
                <w:szCs w:val="20"/>
                <w:lang w:val="en-US" w:eastAsia="zh-CN"/>
              </w:rPr>
              <w:t>生产设备：</w:t>
            </w:r>
            <w:r>
              <w:rPr>
                <w:rFonts w:hint="eastAsia" w:ascii="宋体" w:hAnsi="宋体" w:cs="宋体"/>
                <w:b w:val="0"/>
                <w:bCs w:val="0"/>
                <w:color w:val="000000"/>
                <w:kern w:val="0"/>
                <w:sz w:val="24"/>
                <w:szCs w:val="24"/>
                <w:lang w:val="en-US" w:eastAsia="zh-CN"/>
              </w:rPr>
              <w:t>直条火焰切割机、龙门式喷焊机、电渣焊机、抛丸清理机</w:t>
            </w:r>
            <w:r>
              <w:rPr>
                <w:rFonts w:hint="eastAsia" w:ascii="宋体" w:hAnsi="宋体" w:cs="Times New Roman"/>
                <w:color w:val="auto"/>
                <w:kern w:val="2"/>
                <w:sz w:val="18"/>
                <w:szCs w:val="22"/>
                <w:lang w:val="en-US" w:eastAsia="zh-CN" w:bidi="ar-SA"/>
              </w:rPr>
              <w:t>等</w:t>
            </w:r>
          </w:p>
          <w:p>
            <w:pPr>
              <w:rPr>
                <w:rFonts w:cs="Lucida Sans"/>
                <w:b/>
                <w:szCs w:val="20"/>
              </w:rPr>
            </w:pPr>
            <w:r>
              <w:rPr>
                <w:rFonts w:hint="eastAsia" w:ascii="黑体" w:hAnsi="黑体" w:eastAsia="黑体" w:cs="黑体"/>
                <w:color w:val="000000"/>
                <w:szCs w:val="21"/>
              </w:rPr>
              <w:t>办公设备:电脑/打印机/传真机/电话等</w:t>
            </w:r>
            <w:r>
              <w:rPr>
                <w:rFonts w:hint="eastAsia" w:cs="Lucida Sans"/>
                <w:b/>
                <w:szCs w:val="20"/>
              </w:rPr>
              <w:t>。提供维修保养计划及记录，满足要求。</w:t>
            </w:r>
          </w:p>
          <w:p>
            <w:bookmarkStart w:id="7" w:name="_Hlk22559941"/>
            <w:r>
              <w:rPr>
                <w:rFonts w:hint="eastAsia" w:cs="Lucida Sans"/>
                <w:b/>
                <w:szCs w:val="20"/>
              </w:rPr>
              <w:t>环保设施包括：</w:t>
            </w:r>
            <w:r>
              <w:rPr>
                <w:rFonts w:hint="eastAsia"/>
              </w:rPr>
              <w:t>灭火器</w:t>
            </w:r>
            <w:r>
              <w:rPr>
                <w:rFonts w:hint="eastAsia"/>
                <w:szCs w:val="21"/>
              </w:rPr>
              <w:t>、</w:t>
            </w:r>
            <w:r>
              <w:rPr>
                <w:rFonts w:hint="eastAsia" w:cs="Lucida Sans"/>
                <w:b/>
                <w:szCs w:val="20"/>
              </w:rPr>
              <w:t>垃圾桶；</w:t>
            </w:r>
          </w:p>
          <w:p>
            <w:pPr>
              <w:widowControl/>
              <w:spacing w:line="460" w:lineRule="exact"/>
              <w:jc w:val="left"/>
              <w:rPr>
                <w:szCs w:val="21"/>
              </w:rPr>
            </w:pPr>
            <w:r>
              <w:rPr>
                <w:rFonts w:hint="eastAsia" w:cs="Lucida Sans"/>
                <w:b/>
                <w:szCs w:val="20"/>
              </w:rPr>
              <w:t>安全设施配置主要有：标识牌、灭火器、消防器材等，</w:t>
            </w:r>
          </w:p>
          <w:bookmarkEnd w:id="7"/>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auto"/>
                <w:sz w:val="21"/>
                <w:szCs w:val="21"/>
              </w:rPr>
            </w:pPr>
            <w:r>
              <w:rPr>
                <w:rFonts w:hint="eastAsia" w:ascii="宋体" w:hAnsi="宋体"/>
                <w:b/>
                <w:color w:val="auto"/>
                <w:sz w:val="21"/>
                <w:szCs w:val="21"/>
              </w:rPr>
              <w:t>过程运行环境</w:t>
            </w:r>
          </w:p>
          <w:p>
            <w:pPr>
              <w:rPr>
                <w:color w:val="auto"/>
              </w:rPr>
            </w:pPr>
            <w:r>
              <w:rPr>
                <w:rFonts w:hint="eastAsia"/>
                <w:color w:val="auto"/>
              </w:rPr>
              <w:t>现场观察</w:t>
            </w:r>
            <w:r>
              <w:rPr>
                <w:rFonts w:hint="eastAsia"/>
                <w:color w:val="auto"/>
                <w:lang w:eastAsia="zh-CN"/>
              </w:rPr>
              <w:t>检测现场、</w:t>
            </w:r>
            <w:r>
              <w:rPr>
                <w:rFonts w:hint="eastAsia"/>
                <w:color w:val="auto"/>
              </w:rPr>
              <w:t>办公区域环境卫生管理，工作场所布局合理，温湿度适宜，照明良好，满足办公需求。</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color w:val="auto"/>
              </w:rPr>
            </w:pPr>
            <w:r>
              <w:rPr>
                <w:rFonts w:hint="eastAsia"/>
                <w:color w:val="auto"/>
              </w:rPr>
              <w:t>监视和测量资源</w:t>
            </w:r>
          </w:p>
          <w:p>
            <w:pPr>
              <w:pStyle w:val="2"/>
              <w:rPr>
                <w:rFonts w:hint="default" w:cs="Times New Roman"/>
                <w:bCs/>
                <w:color w:val="auto"/>
                <w:spacing w:val="10"/>
                <w:kern w:val="2"/>
                <w:sz w:val="21"/>
                <w:szCs w:val="22"/>
                <w:lang w:val="en-US" w:eastAsia="zh-CN" w:bidi="ar-SA"/>
              </w:rPr>
            </w:pPr>
            <w:r>
              <w:rPr>
                <w:rFonts w:hint="eastAsia" w:ascii="Times New Roman" w:hAnsi="Times New Roman" w:eastAsia="宋体" w:cs="Times New Roman"/>
                <w:bCs/>
                <w:color w:val="auto"/>
                <w:spacing w:val="10"/>
                <w:kern w:val="2"/>
                <w:sz w:val="21"/>
                <w:szCs w:val="22"/>
                <w:lang w:val="en-US" w:eastAsia="zh-CN" w:bidi="ar-SA"/>
              </w:rPr>
              <w:t>检测设备</w:t>
            </w:r>
            <w:r>
              <w:rPr>
                <w:rFonts w:hint="eastAsia" w:cs="Times New Roman"/>
                <w:bCs/>
                <w:color w:val="auto"/>
                <w:spacing w:val="10"/>
                <w:kern w:val="2"/>
                <w:sz w:val="21"/>
                <w:szCs w:val="22"/>
                <w:lang w:val="en-US" w:eastAsia="zh-CN" w:bidi="ar-SA"/>
              </w:rPr>
              <w:t>：无</w:t>
            </w:r>
          </w:p>
          <w:p>
            <w:pPr>
              <w:pStyle w:val="2"/>
              <w:rPr>
                <w:rFonts w:ascii="宋体" w:hAnsi="宋体"/>
                <w:b/>
                <w:color w:val="000000" w:themeColor="text1"/>
                <w:sz w:val="20"/>
                <w:szCs w:val="20"/>
              </w:rPr>
            </w:pPr>
            <w:r>
              <w:rPr>
                <w:rFonts w:hint="eastAsia"/>
                <w:color w:val="auto"/>
              </w:rPr>
              <w:t>有</w:t>
            </w:r>
            <w:r>
              <w:rPr>
                <w:rFonts w:hint="eastAsia"/>
                <w:color w:val="auto"/>
                <w:lang w:eastAsia="zh-CN"/>
              </w:rPr>
              <w:t>环境及职业健康安全运行</w:t>
            </w:r>
            <w:r>
              <w:rPr>
                <w:rFonts w:hint="eastAsia"/>
                <w:color w:val="auto"/>
              </w:rPr>
              <w:t>检查记录，能不定期对</w:t>
            </w:r>
            <w:r>
              <w:rPr>
                <w:rFonts w:hint="eastAsia"/>
                <w:color w:val="auto"/>
                <w:lang w:eastAsia="zh-CN"/>
              </w:rPr>
              <w:t>环境及职业健康安全</w:t>
            </w:r>
            <w:r>
              <w:rPr>
                <w:rFonts w:hint="eastAsia"/>
                <w:color w:val="auto"/>
              </w:rPr>
              <w:t>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ascii="宋体" w:hAnsi="宋体"/>
                <w:b/>
                <w:color w:val="auto"/>
                <w:sz w:val="21"/>
                <w:szCs w:val="21"/>
              </w:rPr>
            </w:pPr>
            <w:r>
              <w:rPr>
                <w:rFonts w:hint="eastAsia" w:ascii="宋体" w:hAnsi="宋体"/>
                <w:b/>
                <w:color w:val="auto"/>
                <w:sz w:val="21"/>
                <w:szCs w:val="21"/>
              </w:rPr>
              <w:t>知识</w:t>
            </w:r>
          </w:p>
          <w:p>
            <w:pPr>
              <w:rPr>
                <w:color w:val="auto"/>
              </w:rPr>
            </w:pPr>
            <w:r>
              <w:rPr>
                <w:rFonts w:hint="eastAsia"/>
                <w:color w:val="auto"/>
              </w:rPr>
              <w:t>公司确定运行过程所需的知识，内部来源包括公司运作准则（管理制度、工作记录等）等。外部来源包括外来资料如认证标准、法律法规、市场信息等。</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auto"/>
                <w:sz w:val="20"/>
                <w:szCs w:val="20"/>
              </w:rPr>
            </w:pPr>
            <w:r>
              <w:rPr>
                <w:rFonts w:hint="eastAsia" w:ascii="宋体" w:hAnsi="宋体"/>
                <w:b/>
                <w:color w:val="auto"/>
                <w:sz w:val="20"/>
                <w:szCs w:val="20"/>
              </w:rPr>
              <w:t>环保设施：</w:t>
            </w:r>
          </w:p>
          <w:p>
            <w:pPr>
              <w:spacing w:line="240" w:lineRule="exact"/>
              <w:rPr>
                <w:rFonts w:hint="eastAsia"/>
                <w:color w:val="auto"/>
              </w:rPr>
            </w:pPr>
          </w:p>
          <w:p>
            <w:pPr>
              <w:spacing w:line="240" w:lineRule="exact"/>
              <w:rPr>
                <w:rFonts w:ascii="宋体" w:hAnsi="宋体"/>
                <w:color w:val="auto"/>
                <w:sz w:val="20"/>
                <w:szCs w:val="20"/>
              </w:rPr>
            </w:pPr>
            <w:r>
              <w:rPr>
                <w:rFonts w:hint="eastAsia"/>
                <w:color w:val="auto"/>
              </w:rPr>
              <w:t>配备有</w:t>
            </w:r>
            <w:r>
              <w:rPr>
                <w:rFonts w:hint="eastAsia"/>
                <w:color w:val="auto"/>
                <w:lang w:val="en-US" w:eastAsia="zh-CN"/>
              </w:rPr>
              <w:t xml:space="preserve"> 废气处理设备、移动式废气处理设备、垃圾桶</w:t>
            </w:r>
            <w:r>
              <w:rPr>
                <w:rFonts w:hint="eastAsia"/>
                <w:color w:val="auto"/>
                <w:lang w:eastAsia="zh-CN"/>
              </w:rPr>
              <w:t>、灭火器</w:t>
            </w:r>
            <w:r>
              <w:rPr>
                <w:rFonts w:hint="eastAsia"/>
                <w:color w:val="auto"/>
              </w:rPr>
              <w:t>等环保设施。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rPr>
                <w:rFonts w:hint="eastAsia" w:ascii="宋体" w:hAnsi="宋体"/>
                <w:b/>
                <w:color w:val="auto"/>
                <w:sz w:val="21"/>
                <w:szCs w:val="21"/>
              </w:rPr>
            </w:pPr>
            <w:r>
              <w:rPr>
                <w:rFonts w:hint="eastAsia" w:ascii="宋体" w:hAnsi="宋体"/>
                <w:b/>
                <w:color w:val="auto"/>
                <w:sz w:val="21"/>
                <w:szCs w:val="21"/>
              </w:rPr>
              <w:t>职业健康安全设施：</w:t>
            </w:r>
          </w:p>
          <w:p>
            <w:pPr>
              <w:spacing w:line="240" w:lineRule="exact"/>
              <w:rPr>
                <w:rFonts w:hint="eastAsia" w:ascii="宋体" w:hAnsi="宋体"/>
                <w:b/>
                <w:color w:val="auto"/>
                <w:sz w:val="21"/>
                <w:szCs w:val="21"/>
              </w:rPr>
            </w:pPr>
          </w:p>
          <w:p>
            <w:pPr>
              <w:spacing w:line="240" w:lineRule="exact"/>
              <w:rPr>
                <w:rFonts w:hint="eastAsia"/>
                <w:color w:val="auto"/>
              </w:rPr>
            </w:pPr>
            <w:r>
              <w:rPr>
                <w:rFonts w:hint="eastAsia"/>
                <w:color w:val="auto"/>
              </w:rPr>
              <w:t>配备有灭火器</w:t>
            </w:r>
            <w:r>
              <w:rPr>
                <w:rFonts w:hint="eastAsia"/>
                <w:color w:val="auto"/>
                <w:lang w:eastAsia="zh-CN"/>
              </w:rPr>
              <w:t>、消防栓、</w:t>
            </w:r>
            <w:r>
              <w:rPr>
                <w:rFonts w:hint="eastAsia"/>
                <w:color w:val="auto"/>
                <w:lang w:val="en-US" w:eastAsia="zh-CN"/>
              </w:rPr>
              <w:t>气体检测仪、口罩</w:t>
            </w:r>
            <w:r>
              <w:rPr>
                <w:rFonts w:hint="eastAsia"/>
                <w:color w:val="auto"/>
              </w:rPr>
              <w:t>等设施。</w:t>
            </w:r>
          </w:p>
          <w:p>
            <w:pPr>
              <w:spacing w:line="24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color w:val="auto"/>
              </w:rPr>
            </w:pPr>
            <w:r>
              <w:rPr>
                <w:color w:val="auto"/>
              </w:rPr>
              <w:t xml:space="preserve">1. </w:t>
            </w:r>
            <w:r>
              <w:rPr>
                <w:rFonts w:hint="eastAsia"/>
                <w:color w:val="auto"/>
              </w:rPr>
              <w:t>针对方针的管理职责评审</w:t>
            </w:r>
          </w:p>
          <w:p>
            <w:pPr>
              <w:spacing w:line="300" w:lineRule="exact"/>
              <w:ind w:left="1"/>
              <w:rPr>
                <w:rFonts w:hint="eastAsia"/>
                <w:color w:val="auto"/>
              </w:rPr>
            </w:pPr>
            <w:r>
              <w:rPr>
                <w:rFonts w:hint="eastAsia"/>
                <w:color w:val="auto"/>
              </w:rPr>
              <w:t>（包括针对组织宗旨，制定相关管理方针政策、确保方针为员工理解并在运营中实施，监视方针的实施并评审方针的适宜性）</w:t>
            </w:r>
          </w:p>
          <w:p>
            <w:pPr>
              <w:pStyle w:val="2"/>
              <w:rPr>
                <w:rFonts w:hint="eastAsia"/>
                <w:b/>
                <w:color w:val="auto"/>
                <w:sz w:val="20"/>
                <w:szCs w:val="20"/>
              </w:rPr>
            </w:pPr>
          </w:p>
          <w:p>
            <w:pPr>
              <w:spacing w:line="300" w:lineRule="exact"/>
              <w:ind w:left="1"/>
              <w:rPr>
                <w:b/>
                <w:color w:val="auto"/>
                <w:sz w:val="20"/>
                <w:szCs w:val="20"/>
              </w:rPr>
            </w:pPr>
            <w:r>
              <w:rPr>
                <w:rFonts w:hint="eastAsia"/>
                <w:bCs/>
                <w:color w:val="auto"/>
                <w:szCs w:val="21"/>
              </w:rPr>
              <w:t>制定的方针符合组织宗旨，对方针进行宣传和传达学习，可以确保方针为员工理解。在管理评审中对方针进行了评价，目前基本适宜。</w:t>
            </w:r>
          </w:p>
          <w:p>
            <w:pPr>
              <w:spacing w:line="300" w:lineRule="exact"/>
              <w:ind w:left="1"/>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auto"/>
                <w:szCs w:val="21"/>
              </w:rPr>
            </w:pPr>
            <w:r>
              <w:rPr>
                <w:rFonts w:hint="eastAsia" w:ascii="楷体_GB2312" w:eastAsia="楷体_GB2312"/>
                <w:b/>
                <w:color w:val="auto"/>
                <w:szCs w:val="21"/>
              </w:rPr>
              <w:t>部沟通的情况：内部沟通方式：</w:t>
            </w:r>
            <w:r>
              <w:rPr>
                <w:rFonts w:hint="eastAsia"/>
                <w:bCs/>
                <w:color w:val="auto"/>
                <w:szCs w:val="21"/>
              </w:rPr>
              <w:t>会议、公告栏、发放文件等</w:t>
            </w:r>
          </w:p>
          <w:p>
            <w:pPr>
              <w:spacing w:line="240" w:lineRule="exact"/>
              <w:rPr>
                <w:rFonts w:ascii="楷体_GB2312" w:eastAsia="楷体_GB2312"/>
                <w:b/>
                <w:color w:val="auto"/>
                <w:szCs w:val="21"/>
              </w:rPr>
            </w:pPr>
            <w:r>
              <w:rPr>
                <w:rFonts w:hint="eastAsia" w:ascii="楷体_GB2312" w:eastAsia="楷体_GB2312"/>
                <w:b/>
                <w:color w:val="auto"/>
                <w:szCs w:val="21"/>
              </w:rPr>
              <w:t xml:space="preserve">                内部沟通的效果：</w:t>
            </w:r>
            <w:r>
              <w:rPr>
                <w:rFonts w:hint="eastAsia"/>
                <w:bCs/>
                <w:color w:val="auto"/>
                <w:szCs w:val="21"/>
              </w:rPr>
              <w:t>能够得到有效沟通</w:t>
            </w:r>
          </w:p>
          <w:p>
            <w:pPr>
              <w:spacing w:line="240" w:lineRule="exact"/>
              <w:rPr>
                <w:rFonts w:ascii="楷体_GB2312" w:eastAsia="楷体_GB2312"/>
                <w:b/>
                <w:color w:val="auto"/>
                <w:szCs w:val="21"/>
              </w:rPr>
            </w:pPr>
          </w:p>
          <w:p>
            <w:pPr>
              <w:spacing w:line="240" w:lineRule="exact"/>
              <w:rPr>
                <w:bCs/>
                <w:color w:val="auto"/>
                <w:szCs w:val="21"/>
              </w:rPr>
            </w:pPr>
            <w:r>
              <w:rPr>
                <w:rFonts w:hint="eastAsia" w:ascii="楷体_GB2312" w:eastAsia="楷体_GB2312"/>
                <w:b/>
                <w:color w:val="auto"/>
                <w:szCs w:val="21"/>
              </w:rPr>
              <w:t>组织对外联络，关注顾客的感受情况（QMS）：</w:t>
            </w:r>
            <w:r>
              <w:rPr>
                <w:rFonts w:hint="eastAsia"/>
                <w:bCs/>
                <w:color w:val="auto"/>
                <w:szCs w:val="21"/>
              </w:rPr>
              <w:t>顾客满意度调查表的发放、电话回访、到顾客现场进行询问、相关方告知书等形式</w:t>
            </w:r>
          </w:p>
          <w:p>
            <w:pPr>
              <w:spacing w:line="240" w:lineRule="exact"/>
              <w:rPr>
                <w:bCs/>
                <w:color w:val="auto"/>
                <w:szCs w:val="21"/>
              </w:rPr>
            </w:pPr>
          </w:p>
          <w:p>
            <w:pPr>
              <w:spacing w:line="240" w:lineRule="exact"/>
              <w:rPr>
                <w:rFonts w:ascii="楷体_GB2312" w:eastAsia="楷体_GB2312"/>
                <w:b/>
                <w:color w:val="auto"/>
                <w:szCs w:val="21"/>
              </w:rPr>
            </w:pPr>
            <w:r>
              <w:rPr>
                <w:rFonts w:hint="eastAsia" w:ascii="楷体_GB2312" w:eastAsia="楷体_GB2312"/>
                <w:b/>
                <w:color w:val="auto"/>
                <w:szCs w:val="21"/>
              </w:rPr>
              <w:t>外部信息的接收、成文并答复的情况（E、S填写）：</w:t>
            </w:r>
            <w:r>
              <w:rPr>
                <w:rFonts w:hint="eastAsia"/>
                <w:bCs/>
                <w:color w:val="auto"/>
                <w:szCs w:val="21"/>
              </w:rPr>
              <w:t>进行接收、答复，但未进行记录</w:t>
            </w:r>
          </w:p>
          <w:p>
            <w:pPr>
              <w:spacing w:line="240" w:lineRule="exact"/>
              <w:rPr>
                <w:rFonts w:ascii="楷体_GB2312" w:eastAsia="楷体_GB2312"/>
                <w:b/>
                <w:color w:val="auto"/>
                <w:szCs w:val="21"/>
              </w:rPr>
            </w:pPr>
          </w:p>
          <w:p>
            <w:pPr>
              <w:spacing w:line="240" w:lineRule="exact"/>
              <w:rPr>
                <w:rFonts w:ascii="楷体_GB2312" w:eastAsia="楷体_GB2312"/>
                <w:b/>
                <w:color w:val="auto"/>
                <w:szCs w:val="21"/>
              </w:rPr>
            </w:pPr>
            <w:r>
              <w:rPr>
                <w:rFonts w:hint="eastAsia" w:ascii="楷体_GB2312" w:eastAsia="楷体_GB2312"/>
                <w:b/>
                <w:color w:val="auto"/>
                <w:szCs w:val="21"/>
              </w:rPr>
              <w:t>重要环境因素信息对外交流情况（EMS填写）：</w:t>
            </w:r>
            <w:r>
              <w:rPr>
                <w:rFonts w:hint="eastAsia"/>
                <w:bCs/>
                <w:color w:val="auto"/>
                <w:szCs w:val="21"/>
              </w:rPr>
              <w:t>对相关方进行了书面告知，见到相关方告知书。内容符合标准要求</w:t>
            </w:r>
          </w:p>
          <w:p>
            <w:pPr>
              <w:spacing w:line="240" w:lineRule="exact"/>
              <w:rPr>
                <w:rFonts w:ascii="楷体_GB2312" w:eastAsia="楷体_GB2312"/>
                <w:b/>
                <w:color w:val="auto"/>
                <w:szCs w:val="21"/>
              </w:rPr>
            </w:pPr>
          </w:p>
          <w:p>
            <w:pPr>
              <w:spacing w:line="240" w:lineRule="exact"/>
              <w:rPr>
                <w:bCs/>
                <w:color w:val="auto"/>
                <w:szCs w:val="21"/>
              </w:rPr>
            </w:pPr>
            <w:r>
              <w:rPr>
                <w:rFonts w:hint="eastAsia" w:ascii="楷体_GB2312" w:eastAsia="楷体_GB2312"/>
                <w:b/>
                <w:color w:val="auto"/>
                <w:szCs w:val="21"/>
              </w:rPr>
              <w:t>OHSMS事务代表协商和交流的情况（OHSMS填写）：</w:t>
            </w:r>
            <w:r>
              <w:rPr>
                <w:rFonts w:hint="eastAsia"/>
                <w:bCs/>
                <w:color w:val="auto"/>
                <w:szCs w:val="21"/>
              </w:rPr>
              <w:t>，参与了体系文件的制定，每年召开一次员工代表会议。但未保留记录</w:t>
            </w:r>
          </w:p>
          <w:p>
            <w:pPr>
              <w:spacing w:line="240" w:lineRule="exact"/>
              <w:rPr>
                <w:rFonts w:ascii="楷体_GB2312" w:eastAsia="楷体_GB2312"/>
                <w:b/>
                <w:color w:val="auto"/>
                <w:szCs w:val="21"/>
              </w:rPr>
            </w:pPr>
          </w:p>
          <w:p>
            <w:pPr>
              <w:spacing w:line="240" w:lineRule="exact"/>
              <w:rPr>
                <w:rFonts w:ascii="楷体_GB2312" w:eastAsia="楷体_GB2312"/>
                <w:b/>
                <w:color w:val="000000" w:themeColor="text1"/>
                <w:szCs w:val="21"/>
              </w:rPr>
            </w:pPr>
            <w:r>
              <w:rPr>
                <w:rFonts w:hint="eastAsia" w:ascii="楷体_GB2312" w:eastAsia="楷体_GB2312"/>
                <w:b/>
                <w:color w:val="auto"/>
                <w:szCs w:val="21"/>
              </w:rPr>
              <w:t>与相关方协商的情况（OHSMS填写）：</w:t>
            </w:r>
            <w:r>
              <w:rPr>
                <w:rFonts w:hint="eastAsia"/>
                <w:bCs/>
                <w:color w:val="auto"/>
                <w:szCs w:val="21"/>
              </w:rPr>
              <w:t>对相关方进行了书面告知，见到相关方告知书。内容符合标准要求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300" w:lineRule="exact"/>
              <w:rPr>
                <w:b/>
                <w:color w:val="000000" w:themeColor="text1"/>
                <w:sz w:val="20"/>
                <w:szCs w:val="20"/>
              </w:rPr>
            </w:pPr>
          </w:p>
          <w:p>
            <w:pPr>
              <w:spacing w:line="300" w:lineRule="exact"/>
              <w:rPr>
                <w:rFonts w:ascii="宋体" w:hAnsi="宋体"/>
                <w:b/>
                <w:color w:val="auto"/>
                <w:sz w:val="21"/>
                <w:szCs w:val="21"/>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p>
          <w:p>
            <w:pPr>
              <w:spacing w:line="240" w:lineRule="exact"/>
              <w:rPr>
                <w:b/>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201" w:firstLineChars="100"/>
              <w:rPr>
                <w:b/>
                <w:color w:val="000000" w:themeColor="text1"/>
                <w:sz w:val="20"/>
                <w:szCs w:val="20"/>
              </w:rPr>
            </w:pPr>
          </w:p>
          <w:p>
            <w:pPr>
              <w:spacing w:line="240" w:lineRule="exact"/>
              <w:ind w:firstLine="201" w:firstLineChars="100"/>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p>
            <w:pPr>
              <w:spacing w:line="240" w:lineRule="exact"/>
              <w:rPr>
                <w:b/>
                <w:color w:val="000000" w:themeColor="text1"/>
                <w:sz w:val="20"/>
                <w:szCs w:val="20"/>
              </w:rPr>
            </w:pP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p>
            <w:pPr>
              <w:spacing w:line="300" w:lineRule="exact"/>
              <w:jc w:val="lef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ascii="宋体" w:hAnsi="宋体"/>
                <w:b/>
                <w:color w:val="auto"/>
                <w:sz w:val="21"/>
                <w:szCs w:val="21"/>
              </w:rPr>
            </w:pPr>
            <w:r>
              <w:rPr>
                <w:rFonts w:ascii="宋体" w:hAnsi="宋体"/>
                <w:b/>
                <w:color w:val="auto"/>
                <w:sz w:val="21"/>
                <w:szCs w:val="21"/>
              </w:rPr>
              <w:t xml:space="preserve">6. </w:t>
            </w:r>
            <w:r>
              <w:rPr>
                <w:rFonts w:hint="eastAsia" w:ascii="宋体" w:hAnsi="宋体"/>
                <w:b/>
                <w:color w:val="auto"/>
                <w:sz w:val="21"/>
                <w:szCs w:val="21"/>
              </w:rPr>
              <w:t>不合格品</w:t>
            </w:r>
            <w:r>
              <w:rPr>
                <w:rFonts w:ascii="宋体" w:hAnsi="宋体"/>
                <w:b/>
                <w:color w:val="auto"/>
                <w:sz w:val="21"/>
                <w:szCs w:val="21"/>
              </w:rPr>
              <w:t>/</w:t>
            </w:r>
            <w:r>
              <w:rPr>
                <w:rFonts w:hint="eastAsia" w:ascii="宋体" w:hAnsi="宋体"/>
                <w:b/>
                <w:color w:val="auto"/>
                <w:sz w:val="21"/>
                <w:szCs w:val="21"/>
              </w:rPr>
              <w:t>项的识别、控制</w:t>
            </w:r>
            <w:r>
              <w:rPr>
                <w:rFonts w:ascii="宋体" w:hAnsi="宋体"/>
                <w:b/>
                <w:color w:val="auto"/>
                <w:sz w:val="21"/>
                <w:szCs w:val="21"/>
              </w:rPr>
              <w:t>;</w:t>
            </w:r>
          </w:p>
          <w:p>
            <w:pPr>
              <w:spacing w:line="240" w:lineRule="exact"/>
              <w:ind w:firstLine="420" w:firstLineChars="200"/>
              <w:rPr>
                <w:b/>
                <w:color w:val="000000" w:themeColor="text1"/>
                <w:sz w:val="20"/>
                <w:szCs w:val="20"/>
              </w:rPr>
            </w:pPr>
            <w:r>
              <w:rPr>
                <w:rFonts w:hint="eastAsia" w:ascii="宋体" w:hAnsi="宋体" w:cs="宋体"/>
                <w:color w:val="auto"/>
                <w:szCs w:val="21"/>
              </w:rPr>
              <w:t>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rPr>
                <w:rFonts w:ascii="宋体" w:hAnsi="宋体"/>
                <w:b/>
                <w:color w:val="auto"/>
                <w:sz w:val="21"/>
                <w:szCs w:val="21"/>
              </w:rPr>
            </w:pPr>
            <w:r>
              <w:rPr>
                <w:rFonts w:ascii="宋体" w:hAnsi="宋体"/>
                <w:b/>
                <w:color w:val="auto"/>
                <w:sz w:val="21"/>
                <w:szCs w:val="21"/>
              </w:rPr>
              <w:t>7. EMS</w:t>
            </w:r>
            <w:r>
              <w:rPr>
                <w:rFonts w:hint="eastAsia" w:ascii="宋体" w:hAnsi="宋体"/>
                <w:b/>
                <w:color w:val="auto"/>
                <w:sz w:val="21"/>
                <w:szCs w:val="21"/>
              </w:rPr>
              <w:t>组织对重要环境因素实施控制的结果</w:t>
            </w:r>
          </w:p>
          <w:p>
            <w:pPr>
              <w:spacing w:line="240" w:lineRule="exact"/>
              <w:rPr>
                <w:rFonts w:ascii="宋体" w:hAnsi="宋体"/>
                <w:b/>
                <w:color w:val="auto"/>
                <w:sz w:val="21"/>
                <w:szCs w:val="21"/>
              </w:rPr>
            </w:pPr>
            <w:r>
              <w:rPr>
                <w:rFonts w:hint="eastAsia" w:ascii="宋体" w:hAnsi="宋体"/>
                <w:b/>
                <w:color w:val="auto"/>
                <w:sz w:val="21"/>
                <w:szCs w:val="21"/>
              </w:rPr>
              <w:t>（</w:t>
            </w:r>
            <w:r>
              <w:rPr>
                <w:rFonts w:ascii="宋体" w:hAnsi="宋体"/>
                <w:b/>
                <w:color w:val="auto"/>
                <w:sz w:val="21"/>
                <w:szCs w:val="21"/>
              </w:rPr>
              <w:t>EMS</w:t>
            </w:r>
            <w:r>
              <w:rPr>
                <w:rFonts w:hint="eastAsia" w:ascii="宋体" w:hAnsi="宋体"/>
                <w:b/>
                <w:color w:val="auto"/>
                <w:sz w:val="21"/>
                <w:szCs w:val="21"/>
              </w:rPr>
              <w:t>对重要环境因素控制，重大环境因素对周边环境产生的影响及控制</w:t>
            </w:r>
            <w:r>
              <w:rPr>
                <w:rFonts w:ascii="宋体" w:hAnsi="宋体"/>
                <w:b/>
                <w:color w:val="auto"/>
                <w:sz w:val="21"/>
                <w:szCs w:val="21"/>
              </w:rPr>
              <w:t>;</w:t>
            </w:r>
            <w:r>
              <w:rPr>
                <w:rFonts w:hint="eastAsia" w:ascii="宋体" w:hAnsi="宋体"/>
                <w:b/>
                <w:color w:val="auto"/>
                <w:sz w:val="21"/>
                <w:szCs w:val="21"/>
              </w:rPr>
              <w:t>对相关方施加影响）</w:t>
            </w:r>
          </w:p>
          <w:p>
            <w:pPr>
              <w:spacing w:line="240" w:lineRule="exact"/>
              <w:rPr>
                <w:rFonts w:hint="eastAsia"/>
                <w:bCs/>
                <w:szCs w:val="21"/>
              </w:rPr>
            </w:pPr>
          </w:p>
          <w:p>
            <w:pPr>
              <w:spacing w:line="240" w:lineRule="exact"/>
              <w:rPr>
                <w:b/>
                <w:color w:val="000000" w:themeColor="text1"/>
                <w:sz w:val="20"/>
                <w:szCs w:val="20"/>
              </w:rPr>
            </w:pPr>
            <w:r>
              <w:rPr>
                <w:rFonts w:hint="eastAsia"/>
                <w:bCs/>
                <w:szCs w:val="21"/>
              </w:rPr>
              <w:t>对重要环境因素（</w:t>
            </w:r>
            <w:r>
              <w:rPr>
                <w:rFonts w:hint="eastAsia"/>
                <w:sz w:val="21"/>
                <w:szCs w:val="21"/>
              </w:rPr>
              <w:t>固废排放、火灾</w:t>
            </w:r>
            <w:r>
              <w:rPr>
                <w:rFonts w:hint="eastAsia"/>
                <w:sz w:val="21"/>
                <w:szCs w:val="21"/>
                <w:lang w:eastAsia="zh-CN"/>
              </w:rPr>
              <w:t>、噪声、废气</w:t>
            </w:r>
            <w:r>
              <w:rPr>
                <w:rFonts w:hint="eastAsia"/>
                <w:bCs/>
                <w:szCs w:val="21"/>
              </w:rPr>
              <w:t>）进行了识别和控制。目前公司重大环境因素对周边环境影响不大，可得到有效控制。对相关方进行了必要告知。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numPr>
                <w:ilvl w:val="0"/>
                <w:numId w:val="4"/>
              </w:numPr>
              <w:spacing w:line="240" w:lineRule="exact"/>
              <w:rPr>
                <w:rFonts w:hint="eastAsia"/>
                <w:color w:val="auto"/>
              </w:rPr>
            </w:pPr>
            <w:r>
              <w:rPr>
                <w:color w:val="auto"/>
              </w:rPr>
              <w:t>OHSMS</w:t>
            </w:r>
            <w:r>
              <w:rPr>
                <w:rFonts w:hint="eastAsia"/>
                <w:color w:val="auto"/>
              </w:rPr>
              <w:t>组织对不可接受风险实施控制的结果</w:t>
            </w:r>
          </w:p>
          <w:p>
            <w:pPr>
              <w:pStyle w:val="2"/>
              <w:numPr>
                <w:ilvl w:val="0"/>
                <w:numId w:val="0"/>
              </w:numPr>
              <w:ind w:left="0" w:leftChars="0" w:firstLine="0" w:firstLineChars="0"/>
              <w:rPr>
                <w:b/>
                <w:color w:val="000000" w:themeColor="text1"/>
                <w:sz w:val="20"/>
                <w:szCs w:val="20"/>
              </w:rPr>
            </w:pPr>
            <w:r>
              <w:rPr>
                <w:rFonts w:hint="eastAsia"/>
                <w:bCs/>
                <w:color w:val="auto"/>
                <w:szCs w:val="21"/>
              </w:rPr>
              <w:t>对不可接受风险（</w:t>
            </w:r>
            <w:r>
              <w:rPr>
                <w:rFonts w:hint="eastAsia"/>
                <w:color w:val="auto"/>
              </w:rPr>
              <w:t>火灾、触电、意外伤害</w:t>
            </w:r>
            <w:r>
              <w:rPr>
                <w:rFonts w:hint="eastAsia"/>
                <w:color w:val="auto"/>
                <w:lang w:eastAsia="zh-CN"/>
              </w:rPr>
              <w:t>、</w:t>
            </w:r>
            <w:r>
              <w:rPr>
                <w:rFonts w:hint="eastAsia"/>
                <w:color w:val="auto"/>
                <w:lang w:val="en-US" w:eastAsia="zh-CN"/>
              </w:rPr>
              <w:t>机械伤害、职业病</w:t>
            </w:r>
            <w:r>
              <w:rPr>
                <w:rFonts w:hint="eastAsia"/>
                <w:bCs/>
                <w:color w:val="auto"/>
                <w:szCs w:val="21"/>
              </w:rPr>
              <w:t>）进行了识别和控制。目前公司不可接受风险对公司及周边环境影响不大，可得到有效控制。对相关方进行了必要告知。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themeColor="text1"/>
                <w:szCs w:val="21"/>
              </w:rPr>
            </w:pPr>
          </w:p>
        </w:tc>
        <w:tc>
          <w:tcPr>
            <w:tcW w:w="9198" w:type="dxa"/>
            <w:vAlign w:val="top"/>
          </w:tcPr>
          <w:p>
            <w:pPr>
              <w:spacing w:line="240" w:lineRule="exact"/>
              <w:ind w:left="211" w:hanging="211" w:hangingChars="100"/>
              <w:rPr>
                <w:rFonts w:ascii="宋体" w:hAnsi="宋体"/>
                <w:b/>
                <w:color w:val="auto"/>
                <w:sz w:val="21"/>
                <w:szCs w:val="21"/>
              </w:rPr>
            </w:pPr>
            <w:r>
              <w:rPr>
                <w:rFonts w:ascii="宋体" w:hAnsi="宋体"/>
                <w:b/>
                <w:color w:val="auto"/>
                <w:sz w:val="21"/>
                <w:szCs w:val="21"/>
              </w:rPr>
              <w:t xml:space="preserve">9. </w:t>
            </w:r>
            <w:r>
              <w:rPr>
                <w:rFonts w:hint="eastAsia" w:ascii="宋体" w:hAnsi="宋体"/>
                <w:b/>
                <w:color w:val="auto"/>
                <w:sz w:val="21"/>
                <w:szCs w:val="21"/>
              </w:rPr>
              <w:t>应急准备与相应活动的演练及对预案可行性的评价</w:t>
            </w:r>
            <w:r>
              <w:rPr>
                <w:rFonts w:ascii="宋体" w:hAnsi="宋体"/>
                <w:b/>
                <w:color w:val="auto"/>
                <w:sz w:val="21"/>
                <w:szCs w:val="21"/>
              </w:rPr>
              <w:t>(</w:t>
            </w:r>
            <w:r>
              <w:rPr>
                <w:rFonts w:hint="eastAsia" w:ascii="宋体" w:hAnsi="宋体"/>
                <w:b/>
                <w:color w:val="auto"/>
                <w:sz w:val="21"/>
                <w:szCs w:val="21"/>
              </w:rPr>
              <w:t>当有规定时</w:t>
            </w:r>
            <w:r>
              <w:rPr>
                <w:rFonts w:ascii="宋体" w:hAnsi="宋体"/>
                <w:b/>
                <w:color w:val="auto"/>
                <w:sz w:val="21"/>
                <w:szCs w:val="21"/>
              </w:rPr>
              <w:t xml:space="preserve">) </w:t>
            </w:r>
          </w:p>
          <w:p>
            <w:pPr>
              <w:spacing w:line="240" w:lineRule="exact"/>
              <w:rPr>
                <w:rFonts w:hint="eastAsia"/>
                <w:bCs/>
                <w:color w:val="auto"/>
                <w:szCs w:val="21"/>
              </w:rPr>
            </w:pPr>
          </w:p>
          <w:p>
            <w:pPr>
              <w:spacing w:line="240" w:lineRule="exact"/>
              <w:rPr>
                <w:b/>
                <w:color w:val="000000" w:themeColor="text1"/>
                <w:spacing w:val="-4"/>
                <w:sz w:val="20"/>
                <w:szCs w:val="20"/>
              </w:rPr>
            </w:pPr>
            <w:r>
              <w:rPr>
                <w:rFonts w:hint="eastAsia"/>
                <w:bCs/>
                <w:color w:val="auto"/>
                <w:szCs w:val="21"/>
              </w:rPr>
              <w:t>对火灾等制定了应急预案，并按要求进行了演练和评审，对演练效果进行了评价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对特种设备的维护，检定; </w:t>
            </w:r>
          </w:p>
          <w:p>
            <w:pPr>
              <w:spacing w:line="240" w:lineRule="exact"/>
              <w:rPr>
                <w:b/>
                <w:color w:val="000000" w:themeColor="text1"/>
                <w:sz w:val="20"/>
                <w:szCs w:val="20"/>
              </w:rPr>
            </w:pPr>
          </w:p>
          <w:p>
            <w:pPr>
              <w:spacing w:line="240" w:lineRule="exact"/>
              <w:rPr>
                <w:rFonts w:hint="default"/>
                <w:b/>
                <w:color w:val="000000" w:themeColor="text1"/>
                <w:sz w:val="20"/>
                <w:szCs w:val="20"/>
                <w:lang w:val="en-US"/>
              </w:rPr>
            </w:pPr>
            <w:r>
              <w:rPr>
                <w:rFonts w:hint="eastAsia"/>
                <w:b w:val="0"/>
                <w:bCs/>
                <w:color w:val="000000" w:themeColor="text1"/>
                <w:sz w:val="20"/>
                <w:szCs w:val="20"/>
                <w:lang w:eastAsia="zh-CN"/>
              </w:rPr>
              <w:t>提供特种设备检测报告，</w:t>
            </w:r>
            <w:r>
              <w:rPr>
                <w:rFonts w:hint="eastAsia"/>
                <w:b w:val="0"/>
                <w:bCs/>
                <w:color w:val="000000" w:themeColor="text1"/>
                <w:sz w:val="20"/>
                <w:szCs w:val="20"/>
                <w:lang w:val="en-US" w:eastAsia="zh-CN"/>
              </w:rPr>
              <w:t>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rPr>
            </w:pPr>
            <w:r>
              <w:rPr>
                <w:rFonts w:hint="eastAsia"/>
              </w:rPr>
              <w:t>11 .对危险化学品销售、使用、储存、运输处置，规定的执行力度(必要时);</w:t>
            </w:r>
          </w:p>
          <w:p>
            <w:pPr>
              <w:pStyle w:val="2"/>
              <w:rPr>
                <w:rFonts w:hint="eastAsia"/>
              </w:rPr>
            </w:pPr>
          </w:p>
          <w:p>
            <w:pPr>
              <w:pStyle w:val="2"/>
              <w:numPr>
                <w:ilvl w:val="0"/>
                <w:numId w:val="5"/>
              </w:numPr>
              <w:rPr>
                <w:rFonts w:hint="eastAsia" w:ascii="Times New Roman" w:hAnsi="Times New Roman" w:eastAsia="宋体" w:cs="Times New Roman"/>
                <w:b w:val="0"/>
                <w:bCs/>
                <w:color w:val="auto"/>
                <w:spacing w:val="0"/>
                <w:kern w:val="2"/>
                <w:sz w:val="20"/>
                <w:szCs w:val="20"/>
                <w:lang w:val="en-US" w:eastAsia="zh-CN" w:bidi="ar-SA"/>
              </w:rPr>
            </w:pPr>
            <w:r>
              <w:rPr>
                <w:rFonts w:hint="eastAsia" w:cs="Times New Roman"/>
                <w:b w:val="0"/>
                <w:bCs/>
                <w:color w:val="auto"/>
                <w:spacing w:val="0"/>
                <w:kern w:val="2"/>
                <w:sz w:val="20"/>
                <w:szCs w:val="20"/>
                <w:lang w:val="en-US" w:eastAsia="zh-CN" w:bidi="ar-SA"/>
              </w:rPr>
              <w:t>公司有废油桶、废油手套，提供危废处理协议</w:t>
            </w:r>
          </w:p>
          <w:p>
            <w:pPr>
              <w:pStyle w:val="2"/>
              <w:numPr>
                <w:ilvl w:val="0"/>
                <w:numId w:val="5"/>
              </w:numPr>
              <w:ind w:left="0" w:leftChars="0" w:firstLine="0" w:firstLineChars="0"/>
              <w:rPr>
                <w:rFonts w:hint="default" w:ascii="Times New Roman" w:hAnsi="Times New Roman" w:eastAsia="宋体" w:cs="Times New Roman"/>
                <w:b w:val="0"/>
                <w:bCs/>
                <w:color w:val="000000" w:themeColor="text1"/>
                <w:spacing w:val="0"/>
                <w:kern w:val="2"/>
                <w:sz w:val="20"/>
                <w:szCs w:val="20"/>
                <w:lang w:val="en-US" w:eastAsia="zh-CN" w:bidi="ar-SA"/>
              </w:rPr>
            </w:pPr>
            <w:r>
              <w:rPr>
                <w:rFonts w:hint="eastAsia" w:cs="Times New Roman"/>
                <w:b w:val="0"/>
                <w:bCs/>
                <w:color w:val="000000" w:themeColor="text1"/>
                <w:spacing w:val="0"/>
                <w:kern w:val="2"/>
                <w:sz w:val="20"/>
                <w:szCs w:val="20"/>
                <w:lang w:val="en-US" w:eastAsia="zh-CN" w:bidi="ar-SA"/>
              </w:rPr>
              <w:t xml:space="preserve"> 公司设有危废暂存间，专人管理。</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vAlign w:val="top"/>
          </w:tcPr>
          <w:p>
            <w:pPr>
              <w:spacing w:line="240" w:lineRule="exact"/>
              <w:ind w:left="100" w:hanging="100" w:hangingChars="50"/>
              <w:rPr>
                <w:b/>
                <w:color w:val="auto"/>
                <w:sz w:val="20"/>
                <w:szCs w:val="20"/>
              </w:rPr>
            </w:pPr>
            <w:r>
              <w:rPr>
                <w:rFonts w:hint="eastAsia"/>
                <w:b/>
                <w:color w:val="auto"/>
                <w:sz w:val="20"/>
                <w:szCs w:val="20"/>
              </w:rPr>
              <w:t>1. .对质量/环境/职业健康安全目标指标进行定期监测/检查情况</w:t>
            </w:r>
          </w:p>
          <w:p>
            <w:pPr>
              <w:spacing w:line="240" w:lineRule="exact"/>
              <w:ind w:firstLine="100" w:firstLineChars="50"/>
              <w:rPr>
                <w:b/>
                <w:color w:val="auto"/>
                <w:sz w:val="20"/>
                <w:szCs w:val="20"/>
              </w:rPr>
            </w:pPr>
          </w:p>
          <w:p>
            <w:pPr>
              <w:spacing w:line="240" w:lineRule="exact"/>
              <w:ind w:firstLine="105" w:firstLineChars="50"/>
              <w:rPr>
                <w:b/>
                <w:color w:val="000000" w:themeColor="text1"/>
                <w:sz w:val="20"/>
                <w:szCs w:val="20"/>
              </w:rPr>
            </w:pPr>
            <w:r>
              <w:rPr>
                <w:rFonts w:hint="eastAsia" w:ascii="宋体" w:hAnsi="宋体" w:cs="宋体"/>
                <w:color w:val="auto"/>
                <w:szCs w:val="21"/>
                <w:highlight w:val="none"/>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1月</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2020年10</w:t>
            </w:r>
            <w:r>
              <w:rPr>
                <w:rFonts w:hint="eastAsia" w:ascii="宋体" w:hAnsi="宋体" w:cs="宋体"/>
                <w:color w:val="auto"/>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vAlign w:val="top"/>
          </w:tcPr>
          <w:p>
            <w:pPr>
              <w:spacing w:line="240" w:lineRule="exact"/>
              <w:ind w:left="100" w:hanging="100" w:hangingChars="50"/>
              <w:rPr>
                <w:b/>
                <w:color w:val="auto"/>
                <w:sz w:val="20"/>
                <w:szCs w:val="20"/>
              </w:rPr>
            </w:pPr>
            <w:r>
              <w:rPr>
                <w:rFonts w:hint="eastAsia"/>
                <w:b/>
                <w:color w:val="auto"/>
                <w:sz w:val="20"/>
                <w:szCs w:val="20"/>
              </w:rPr>
              <w:t>2.顾客满意</w:t>
            </w:r>
          </w:p>
          <w:p>
            <w:pPr>
              <w:spacing w:line="240" w:lineRule="exact"/>
              <w:ind w:left="100" w:hanging="100" w:hangingChars="50"/>
              <w:rPr>
                <w:b/>
                <w:color w:val="auto"/>
                <w:sz w:val="20"/>
                <w:szCs w:val="20"/>
              </w:rPr>
            </w:pPr>
          </w:p>
          <w:p>
            <w:pPr>
              <w:spacing w:line="240" w:lineRule="exact"/>
              <w:ind w:left="105" w:leftChars="0" w:hanging="105" w:hangingChars="50"/>
              <w:rPr>
                <w:b/>
                <w:color w:val="000000" w:themeColor="text1"/>
                <w:sz w:val="20"/>
                <w:szCs w:val="20"/>
              </w:rPr>
            </w:pPr>
            <w:r>
              <w:rPr>
                <w:rFonts w:hint="eastAsia" w:ascii="宋体" w:hAnsi="宋体" w:cs="宋体"/>
                <w:color w:val="auto"/>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满意度评价9</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分，总体实现了顾客满意度的质量目标要求。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auto"/>
                <w:sz w:val="20"/>
                <w:szCs w:val="20"/>
              </w:rPr>
            </w:pPr>
            <w:r>
              <w:rPr>
                <w:rFonts w:hint="eastAsia"/>
                <w:b/>
                <w:color w:val="auto"/>
                <w:sz w:val="20"/>
                <w:szCs w:val="20"/>
              </w:rPr>
              <w:t>3. 内审（包括内审策划审核方案中考虑拟审核的过程和区域的状况和重要性）</w:t>
            </w:r>
          </w:p>
          <w:p>
            <w:pPr>
              <w:spacing w:line="240" w:lineRule="exact"/>
              <w:rPr>
                <w:b/>
                <w:color w:val="auto"/>
                <w:spacing w:val="-8"/>
                <w:sz w:val="20"/>
                <w:szCs w:val="20"/>
              </w:rPr>
            </w:pPr>
          </w:p>
          <w:p>
            <w:pPr>
              <w:spacing w:line="240" w:lineRule="exact"/>
              <w:rPr>
                <w:rFonts w:ascii="宋体" w:hAnsi="宋体"/>
                <w:b/>
                <w:color w:val="auto"/>
                <w:sz w:val="21"/>
                <w:szCs w:val="21"/>
              </w:rPr>
            </w:pPr>
          </w:p>
          <w:p>
            <w:pPr>
              <w:pStyle w:val="2"/>
              <w:rPr>
                <w:b/>
                <w:color w:val="000000" w:themeColor="text1"/>
                <w:sz w:val="20"/>
                <w:szCs w:val="20"/>
              </w:rPr>
            </w:pPr>
            <w:r>
              <w:rPr>
                <w:rFonts w:hint="eastAsia" w:ascii="宋体" w:hAnsi="宋体"/>
                <w:color w:val="auto"/>
                <w:szCs w:val="21"/>
              </w:rPr>
              <w:t>建立有《内部审核控制程序》，规定了内审频次一年一次，内审时间：</w:t>
            </w:r>
            <w:r>
              <w:rPr>
                <w:rFonts w:hint="eastAsia" w:ascii="宋体" w:hAnsi="宋体" w:cs="Times New Roman"/>
                <w:color w:val="auto"/>
                <w:kern w:val="2"/>
                <w:sz w:val="18"/>
                <w:szCs w:val="22"/>
                <w:lang w:val="en-US" w:eastAsia="zh-CN" w:bidi="ar-SA"/>
              </w:rPr>
              <w:t>2020年9月11日</w:t>
            </w:r>
            <w:r>
              <w:rPr>
                <w:rFonts w:hint="eastAsia" w:ascii="宋体" w:hAnsi="宋体"/>
                <w:color w:val="auto"/>
                <w:szCs w:val="21"/>
              </w:rPr>
              <w:t>，拟定了审核实施表，明确了内审范围，内审人员经培训合格上岗，能力满足要求，未出现审核本部门情况，内审</w:t>
            </w:r>
            <w:r>
              <w:rPr>
                <w:rFonts w:hint="eastAsia" w:ascii="宋体" w:hAnsi="宋体"/>
                <w:color w:val="auto"/>
                <w:szCs w:val="21"/>
                <w:highlight w:val="none"/>
              </w:rPr>
              <w:t>不符合项</w:t>
            </w:r>
            <w:r>
              <w:rPr>
                <w:rFonts w:hint="eastAsia" w:ascii="宋体" w:hAnsi="宋体"/>
                <w:color w:val="auto"/>
                <w:szCs w:val="21"/>
                <w:highlight w:val="none"/>
                <w:lang w:val="en-US" w:eastAsia="zh-CN"/>
              </w:rPr>
              <w:t>1</w:t>
            </w:r>
            <w:r>
              <w:rPr>
                <w:rFonts w:hint="eastAsia" w:ascii="宋体" w:hAnsi="宋体"/>
                <w:color w:val="auto"/>
                <w:szCs w:val="21"/>
                <w:highlight w:val="none"/>
              </w:rPr>
              <w:t>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vAlign w:val="top"/>
          </w:tcPr>
          <w:p>
            <w:pPr>
              <w:spacing w:line="240" w:lineRule="exact"/>
              <w:rPr>
                <w:b/>
                <w:color w:val="auto"/>
                <w:sz w:val="20"/>
                <w:szCs w:val="20"/>
              </w:rPr>
            </w:pPr>
            <w:r>
              <w:rPr>
                <w:rFonts w:hint="eastAsia"/>
                <w:b/>
                <w:color w:val="auto"/>
                <w:sz w:val="20"/>
                <w:szCs w:val="20"/>
              </w:rPr>
              <w:t>4.管理评审（管理评审体系变更需求，纠正和预防措施、体系有效性等）</w:t>
            </w:r>
          </w:p>
          <w:p>
            <w:pPr>
              <w:spacing w:line="240" w:lineRule="exact"/>
              <w:rPr>
                <w:b/>
                <w:color w:val="auto"/>
                <w:sz w:val="20"/>
                <w:szCs w:val="20"/>
              </w:rPr>
            </w:pPr>
          </w:p>
          <w:p>
            <w:pPr>
              <w:pStyle w:val="2"/>
              <w:rPr>
                <w:b/>
                <w:color w:val="000000" w:themeColor="text1"/>
                <w:sz w:val="20"/>
                <w:szCs w:val="20"/>
              </w:rPr>
            </w:pPr>
            <w:r>
              <w:rPr>
                <w:rFonts w:hint="eastAsia" w:ascii="宋体" w:hAnsi="宋体" w:cs="宋体"/>
                <w:color w:val="auto"/>
                <w:szCs w:val="21"/>
              </w:rPr>
              <w:t>管理评审频次为一年一次、本次管理评审于</w:t>
            </w:r>
            <w:r>
              <w:rPr>
                <w:rFonts w:hint="eastAsia" w:ascii="宋体" w:hAnsi="宋体"/>
                <w:szCs w:val="21"/>
                <w:lang w:val="en-US" w:eastAsia="zh-CN"/>
              </w:rPr>
              <w:t>2020.9.20</w:t>
            </w:r>
            <w:r>
              <w:rPr>
                <w:rFonts w:hint="eastAsia" w:ascii="宋体" w:hAnsi="宋体" w:cs="宋体"/>
                <w:color w:val="auto"/>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numPr>
                <w:ilvl w:val="0"/>
                <w:numId w:val="6"/>
              </w:numPr>
              <w:spacing w:line="240" w:lineRule="exact"/>
              <w:rPr>
                <w:rFonts w:hint="eastAsia"/>
              </w:rPr>
            </w:pPr>
            <w:r>
              <w:rPr>
                <w:rFonts w:hint="eastAsia"/>
              </w:rPr>
              <w:t xml:space="preserve"> EMS是否按规定对主要污染物（污水、废气、噪声、废渣等）及排放实施了例行的监视或测量，结果是否满足相关要求？</w:t>
            </w:r>
          </w:p>
          <w:p>
            <w:pPr>
              <w:pStyle w:val="2"/>
              <w:numPr>
                <w:ilvl w:val="0"/>
                <w:numId w:val="0"/>
              </w:numPr>
              <w:rPr>
                <w:rFonts w:hint="eastAsia"/>
                <w:bCs/>
                <w:szCs w:val="21"/>
                <w:lang w:val="en-US" w:eastAsia="zh-CN"/>
              </w:rPr>
            </w:pPr>
          </w:p>
          <w:p>
            <w:pPr>
              <w:pStyle w:val="2"/>
              <w:numPr>
                <w:ilvl w:val="0"/>
                <w:numId w:val="0"/>
              </w:numPr>
              <w:rPr>
                <w:rFonts w:hint="default" w:eastAsia="宋体"/>
                <w:lang w:val="en-US" w:eastAsia="zh-CN"/>
              </w:rPr>
            </w:pPr>
            <w:r>
              <w:rPr>
                <w:rFonts w:hint="eastAsia"/>
                <w:bCs/>
                <w:szCs w:val="21"/>
                <w:lang w:val="en-US" w:eastAsia="zh-CN"/>
              </w:rPr>
              <w:t>提供环境影响评价报告、环评批复、竣工环境验收报告、危废处置协议等，见附件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国家/地方环保部门监测结果、新改扩建项目符合环评报告、三同时验收报告要求情况及措施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提供有人员体检报告，及社保缴费凭证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eastAsia="宋体"/>
                <w:b/>
                <w:color w:val="000000" w:themeColor="text1"/>
                <w:sz w:val="20"/>
                <w:szCs w:val="20"/>
                <w:lang w:val="en-US" w:eastAsia="zh-CN"/>
              </w:rPr>
            </w:pPr>
            <w:r>
              <w:rPr>
                <w:rFonts w:hint="eastAsia"/>
                <w:b/>
                <w:color w:val="000000" w:themeColor="text1"/>
                <w:sz w:val="20"/>
                <w:szCs w:val="20"/>
              </w:rPr>
              <w:t>9. 其他能够标明组织绩效、信誉的证据/信息：</w:t>
            </w: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240" w:lineRule="exact"/>
              <w:ind w:firstLine="420" w:firstLineChars="200"/>
              <w:rPr>
                <w:rFonts w:hint="eastAsia"/>
                <w:color w:val="auto"/>
              </w:rPr>
            </w:pPr>
            <w:r>
              <w:rPr>
                <w:rFonts w:hint="eastAsia"/>
                <w:color w:val="auto"/>
              </w:rPr>
              <w:t>公司明确通过对内、外审核结果、管理评审输出、监测和测量等活动中识别出在产品/服务、过程、管理体系等方面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eastAsia="宋体"/>
                <w:b/>
                <w:color w:val="000000" w:themeColor="text1"/>
                <w:spacing w:val="-20"/>
                <w:sz w:val="20"/>
                <w:szCs w:val="20"/>
                <w:lang w:val="en-US" w:eastAsia="zh-CN"/>
              </w:rPr>
            </w:pPr>
            <w:r>
              <w:rPr>
                <w:rFonts w:hint="eastAsia"/>
                <w:b/>
                <w:color w:val="000000" w:themeColor="text1"/>
                <w:spacing w:val="-20"/>
                <w:sz w:val="20"/>
                <w:szCs w:val="20"/>
              </w:rPr>
              <w:t>2（近一年）重大事故、顾客/相关方投诉：：</w:t>
            </w:r>
            <w:r>
              <w:rPr>
                <w:rFonts w:hint="eastAsia"/>
                <w:b/>
                <w:color w:val="000000" w:themeColor="text1"/>
                <w:spacing w:val="-20"/>
                <w:sz w:val="20"/>
                <w:szCs w:val="20"/>
                <w:lang w:val="en-US" w:eastAsia="zh-CN"/>
              </w:rPr>
              <w:t>无</w:t>
            </w:r>
          </w:p>
          <w:p>
            <w:pPr>
              <w:spacing w:line="240" w:lineRule="exact"/>
              <w:rPr>
                <w:b/>
                <w:color w:val="000000" w:themeColor="text1"/>
                <w:spacing w:val="-20"/>
                <w:sz w:val="20"/>
                <w:szCs w:val="20"/>
              </w:rPr>
            </w:pP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b/>
                <w:color w:val="000000" w:themeColor="text1"/>
                <w:spacing w:val="-20"/>
                <w:sz w:val="20"/>
                <w:szCs w:val="20"/>
              </w:rPr>
            </w:pPr>
            <w:r>
              <w:rPr>
                <w:rFonts w:hint="eastAsia"/>
                <w:bCs/>
                <w:szCs w:val="21"/>
              </w:rPr>
              <w:t>一阶段提供的问题</w:t>
            </w:r>
            <w:r>
              <w:rPr>
                <w:rFonts w:hint="eastAsia"/>
                <w:bCs/>
                <w:szCs w:val="21"/>
                <w:lang w:eastAsia="zh-CN"/>
              </w:rPr>
              <w:t>：</w:t>
            </w:r>
            <w:r>
              <w:rPr>
                <w:rFonts w:hint="eastAsia"/>
                <w:bCs/>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r>
              <w:rPr>
                <w:rFonts w:hint="eastAsia"/>
                <w:b/>
                <w:color w:val="000000" w:themeColor="text1"/>
                <w:sz w:val="20"/>
                <w:szCs w:val="20"/>
                <w:lang w:val="en-US" w:eastAsia="zh-CN"/>
              </w:rPr>
              <w:t xml:space="preserve">   </w:t>
            </w:r>
            <w:r>
              <w:rPr>
                <w:rFonts w:hint="eastAsia"/>
                <w:bCs/>
                <w:szCs w:val="21"/>
              </w:rPr>
              <w:t>体系运行至今无创新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本次审核共开具不符合项报告项；其中</w:t>
      </w:r>
      <w:r>
        <w:rPr>
          <w:b/>
          <w:color w:val="000000" w:themeColor="text1"/>
        </w:rPr>
        <w:pict>
          <v:line id="直接连接符 1" o:spid="_x0000_s2052"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严重不符合项，一般不符合项，观察项项分布在部门条款，分布见附件。（Q/J/E/S分开填写）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9"/>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8"/>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lang w:eastAsia="zh-CN"/>
              </w:rPr>
              <w:t>☑</w:t>
            </w:r>
            <w:r>
              <w:rPr>
                <w:rFonts w:hint="eastAsia"/>
                <w:b/>
                <w:color w:val="000000" w:themeColor="text1"/>
                <w:sz w:val="22"/>
                <w:szCs w:val="22"/>
              </w:rPr>
              <w:t xml:space="preserve">EMS  </w:t>
            </w:r>
            <w:r>
              <w:rPr>
                <w:rFonts w:hint="eastAsia"/>
                <w:b/>
                <w:color w:val="000000" w:themeColor="text1"/>
                <w:spacing w:val="-10"/>
                <w:szCs w:val="21"/>
                <w:lang w:eastAsia="zh-CN"/>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2"/>
                <w:szCs w:val="22"/>
              </w:rPr>
            </w:pPr>
          </w:p>
          <w:p>
            <w:pPr>
              <w:pStyle w:val="19"/>
              <w:keepNext w:val="0"/>
              <w:keepLines w:val="0"/>
              <w:pageBreakBefore w:val="0"/>
              <w:widowControl w:val="0"/>
              <w:kinsoku/>
              <w:wordWrap/>
              <w:overflowPunct/>
              <w:topLinePunct w:val="0"/>
              <w:bidi w:val="0"/>
              <w:snapToGrid/>
              <w:spacing w:line="340" w:lineRule="exact"/>
              <w:ind w:left="1453" w:right="0" w:rightChars="0" w:hanging="1033"/>
              <w:outlineLvl w:val="9"/>
              <w:rPr>
                <w:rFonts w:hint="eastAsia"/>
                <w:color w:val="auto"/>
                <w:kern w:val="2"/>
                <w:sz w:val="21"/>
                <w:szCs w:val="21"/>
                <w:lang w:val="en-GB"/>
              </w:rPr>
            </w:pPr>
            <w:r>
              <w:rPr>
                <w:rFonts w:hint="eastAsia"/>
                <w:b/>
                <w:color w:val="auto"/>
                <w:kern w:val="2"/>
                <w:sz w:val="21"/>
                <w:szCs w:val="21"/>
                <w:lang w:val="en-GB"/>
              </w:rPr>
              <w:t>审核结论：</w:t>
            </w:r>
            <w:r>
              <w:rPr>
                <w:rFonts w:hint="eastAsia"/>
                <w:color w:val="auto"/>
                <w:kern w:val="2"/>
                <w:sz w:val="21"/>
                <w:szCs w:val="21"/>
                <w:lang w:val="en-GB"/>
              </w:rPr>
              <w:t>根据审核发现，审核组一致认为，</w:t>
            </w:r>
            <w:r>
              <w:rPr>
                <w:color w:val="000000"/>
                <w:szCs w:val="21"/>
              </w:rPr>
              <w:t>天津贵和鸿兴钢结构工程有限公司</w:t>
            </w:r>
            <w:r>
              <w:rPr>
                <w:rFonts w:hint="eastAsia"/>
                <w:color w:val="auto"/>
                <w:sz w:val="21"/>
                <w:szCs w:val="21"/>
                <w:u w:val="single"/>
                <w:lang w:val="en-US" w:eastAsia="zh-CN"/>
              </w:rPr>
              <w:t xml:space="preserve"> </w:t>
            </w:r>
            <w:r>
              <w:rPr>
                <w:rFonts w:hint="eastAsia"/>
                <w:color w:val="auto"/>
                <w:kern w:val="2"/>
                <w:sz w:val="21"/>
                <w:szCs w:val="21"/>
                <w:lang w:val="en-GB"/>
              </w:rPr>
              <w:t>的</w:t>
            </w:r>
          </w:p>
          <w:p>
            <w:pPr>
              <w:pStyle w:val="19"/>
              <w:keepNext w:val="0"/>
              <w:keepLines w:val="0"/>
              <w:pageBreakBefore w:val="0"/>
              <w:widowControl w:val="0"/>
              <w:kinsoku/>
              <w:wordWrap/>
              <w:overflowPunct/>
              <w:topLinePunct w:val="0"/>
              <w:bidi w:val="0"/>
              <w:snapToGrid/>
              <w:spacing w:line="340" w:lineRule="exact"/>
              <w:ind w:left="1441" w:right="0" w:rightChars="0"/>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质量</w:t>
            </w:r>
            <w:r>
              <w:rPr>
                <w:rFonts w:hint="eastAsia" w:ascii="宋体" w:hAnsi="宋体" w:eastAsia="宋体" w:cs="宋体"/>
                <w:b/>
                <w:color w:val="auto"/>
                <w:kern w:val="2"/>
                <w:sz w:val="21"/>
                <w:szCs w:val="21"/>
                <w:lang w:val="en-GB"/>
              </w:rPr>
              <w:sym w:font="Wingdings" w:char="00A8"/>
            </w:r>
            <w:r>
              <w:rPr>
                <w:rFonts w:hint="eastAsia"/>
                <w:color w:val="auto"/>
                <w:kern w:val="2"/>
                <w:sz w:val="21"/>
                <w:szCs w:val="21"/>
                <w:lang w:val="en-GB"/>
              </w:rPr>
              <w:t>环境</w:t>
            </w:r>
            <w:r>
              <w:rPr>
                <w:rFonts w:hint="eastAsia" w:ascii="宋体" w:hAnsi="宋体" w:eastAsia="宋体" w:cs="宋体"/>
                <w:b/>
                <w:color w:val="auto"/>
                <w:kern w:val="2"/>
                <w:sz w:val="21"/>
                <w:szCs w:val="21"/>
                <w:lang w:val="en-GB"/>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lang w:val="en-GB"/>
              </w:rPr>
              <w:t>食品安全 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8"/>
              <w:tblW w:w="4904" w:type="dxa"/>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134"/>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审核准则的要求</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olor w:val="auto"/>
                      <w:kern w:val="2"/>
                      <w:sz w:val="21"/>
                      <w:szCs w:val="21"/>
                      <w:lang w:val="en-GB"/>
                    </w:rPr>
                    <w:t>符合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适用要求</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实现预期结果的能力</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满足</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内部审核和管理评审过程</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color w:val="auto"/>
                      <w:sz w:val="21"/>
                      <w:szCs w:val="21"/>
                    </w:rPr>
                    <w:t>审核目的</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达到</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olor w:val="auto"/>
                      <w:kern w:val="2"/>
                      <w:sz w:val="21"/>
                      <w:szCs w:val="21"/>
                      <w:lang w:val="en-GB"/>
                    </w:rPr>
                    <w:t>体系运行</w:t>
                  </w:r>
                </w:p>
              </w:tc>
              <w:tc>
                <w:tcPr>
                  <w:tcW w:w="967"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ascii="宋体" w:hAnsi="宋体" w:eastAsia="宋体" w:cs="宋体"/>
                      <w:b/>
                      <w:color w:val="auto"/>
                      <w:sz w:val="21"/>
                      <w:szCs w:val="21"/>
                    </w:rPr>
                    <w:t>■</w:t>
                  </w:r>
                  <w:r>
                    <w:rPr>
                      <w:rFonts w:hint="eastAsia" w:cs="宋体"/>
                      <w:color w:val="auto"/>
                      <w:sz w:val="21"/>
                      <w:szCs w:val="21"/>
                    </w:rPr>
                    <w:t>有效</w:t>
                  </w:r>
                </w:p>
              </w:tc>
              <w:tc>
                <w:tcPr>
                  <w:tcW w:w="1134" w:type="dxa"/>
                  <w:noWrap w:val="0"/>
                  <w:vAlign w:val="top"/>
                </w:tcPr>
                <w:p>
                  <w:pPr>
                    <w:pStyle w:val="19"/>
                    <w:keepNext w:val="0"/>
                    <w:keepLines w:val="0"/>
                    <w:pageBreakBefore w:val="0"/>
                    <w:widowControl w:val="0"/>
                    <w:kinsoku/>
                    <w:wordWrap/>
                    <w:overflowPunct/>
                    <w:topLinePunct w:val="0"/>
                    <w:bidi w:val="0"/>
                    <w:snapToGrid/>
                    <w:spacing w:line="340" w:lineRule="exact"/>
                    <w:ind w:right="0" w:rightChars="0"/>
                    <w:jc w:val="both"/>
                    <w:outlineLvl w:val="9"/>
                    <w:rPr>
                      <w:rFonts w:hint="eastAsia"/>
                      <w:color w:val="auto"/>
                      <w:kern w:val="2"/>
                      <w:sz w:val="21"/>
                      <w:szCs w:val="21"/>
                      <w:lang w:val="en-GB"/>
                    </w:rPr>
                  </w:pPr>
                  <w:r>
                    <w:rPr>
                      <w:rFonts w:hint="eastAsia" w:cs="宋体"/>
                      <w:b/>
                      <w:color w:val="auto"/>
                      <w:sz w:val="21"/>
                      <w:szCs w:val="21"/>
                    </w:rPr>
                    <w:t>□</w:t>
                  </w:r>
                  <w:r>
                    <w:rPr>
                      <w:rFonts w:hint="eastAsia" w:cs="宋体"/>
                      <w:color w:val="auto"/>
                      <w:sz w:val="21"/>
                      <w:szCs w:val="21"/>
                    </w:rPr>
                    <w:t>无效</w:t>
                  </w:r>
                </w:p>
              </w:tc>
            </w:tr>
          </w:tbl>
          <w:p>
            <w:pPr>
              <w:spacing w:line="240" w:lineRule="exact"/>
            </w:pPr>
            <w:r>
              <w:rPr>
                <w:rFonts w:hint="eastAsia"/>
              </w:rPr>
              <w:t xml:space="preserve">■QMS  </w:t>
            </w:r>
            <w:r>
              <w:rPr>
                <w:rFonts w:hint="eastAsia"/>
              </w:rPr>
              <w:sym w:font="Wingdings" w:char="00A8"/>
            </w:r>
            <w:r>
              <w:rPr>
                <w:rFonts w:hint="eastAsia"/>
              </w:rPr>
              <w:t>EMS  ■OHSMS持续的符合性及运行的有效性，以及与认证范围的持续相关性和适宜性及自我完善机制等。</w:t>
            </w:r>
          </w:p>
          <w:p>
            <w:pPr>
              <w:spacing w:line="240" w:lineRule="exact"/>
            </w:pPr>
          </w:p>
          <w:p>
            <w:pPr>
              <w:spacing w:line="240" w:lineRule="exact"/>
            </w:pPr>
          </w:p>
          <w:p>
            <w:pPr>
              <w:spacing w:line="240" w:lineRule="exact"/>
            </w:pPr>
            <w:r>
              <w:rPr>
                <w:rFonts w:hint="eastAsia"/>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pStyle w:val="2"/>
              <w:rPr>
                <w:color w:val="auto"/>
              </w:rPr>
            </w:pP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rFonts w:hint="eastAsia"/>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rFonts w:hint="eastAsia"/>
                <w:color w:val="000000"/>
                <w:szCs w:val="21"/>
              </w:rPr>
            </w:pPr>
            <w:bookmarkStart w:id="8" w:name="审核范围"/>
            <w:r>
              <w:rPr>
                <w:rFonts w:hint="eastAsia" w:ascii="宋体" w:hAnsi="宋体"/>
                <w:szCs w:val="21"/>
              </w:rPr>
              <w:t>E：钢结构加工(法规强制要求范围除外)所涉及的相关环境管理活动</w:t>
            </w:r>
          </w:p>
          <w:p>
            <w:pPr>
              <w:rPr>
                <w:rFonts w:hint="eastAsia" w:ascii="宋体" w:hAnsi="宋体"/>
                <w:szCs w:val="21"/>
              </w:rPr>
            </w:pPr>
            <w:r>
              <w:rPr>
                <w:rFonts w:hint="eastAsia" w:ascii="宋体" w:hAnsi="宋体"/>
                <w:szCs w:val="21"/>
              </w:rPr>
              <w:t>O：钢结构加工(法规强制要求范围除外)所涉及的相关职业健康安全管理活动</w:t>
            </w:r>
            <w:bookmarkEnd w:id="8"/>
            <w:r>
              <w:rPr>
                <w:rFonts w:hint="eastAsia" w:ascii="宋体" w:hAnsi="宋体"/>
                <w:szCs w:val="21"/>
              </w:rPr>
              <w:t xml:space="preserve"> </w:t>
            </w:r>
          </w:p>
          <w:p>
            <w:pPr>
              <w:rPr>
                <w:rFonts w:hint="eastAsia" w:ascii="宋体" w:hAnsi="宋体"/>
                <w:szCs w:val="21"/>
              </w:rPr>
            </w:pP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ascii="宋体" w:hAnsi="宋体"/>
                <w:b/>
                <w:color w:val="000000" w:themeColor="text1"/>
                <w:u w:val="single"/>
              </w:rPr>
            </w:pPr>
          </w:p>
          <w:p>
            <w:pPr>
              <w:spacing w:line="320" w:lineRule="exact"/>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pacing w:val="-10"/>
                <w:szCs w:val="21"/>
                <w:lang w:eastAsia="zh-CN"/>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7"/>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r>
        <w:drawing>
          <wp:inline distT="0" distB="0" distL="114300" distR="114300">
            <wp:extent cx="847725" cy="528955"/>
            <wp:effectExtent l="0" t="0" r="3175" b="444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847725" cy="528955"/>
                    </a:xfrm>
                    <a:prstGeom prst="rect">
                      <a:avLst/>
                    </a:prstGeom>
                    <a:noFill/>
                    <a:ln>
                      <a:noFill/>
                    </a:ln>
                  </pic:spPr>
                </pic:pic>
              </a:graphicData>
            </a:graphic>
          </wp:inline>
        </w:drawing>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r>
        <w:drawing>
          <wp:inline distT="0" distB="0" distL="114300" distR="114300">
            <wp:extent cx="868045" cy="424815"/>
            <wp:effectExtent l="0" t="0" r="8255" b="698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868045" cy="424815"/>
                    </a:xfrm>
                    <a:prstGeom prst="rect">
                      <a:avLst/>
                    </a:prstGeom>
                    <a:noFill/>
                    <a:ln>
                      <a:noFill/>
                    </a:ln>
                  </pic:spPr>
                </pic:pic>
              </a:graphicData>
            </a:graphic>
          </wp:inline>
        </w:drawing>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val="en-US" w:eastAsia="zh-CN"/>
        </w:rPr>
        <w:t xml:space="preserve"> 2020   </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11</w:t>
      </w:r>
      <w:r>
        <w:rPr>
          <w:rFonts w:hint="eastAsia" w:asciiTheme="minorEastAsia" w:hAnsiTheme="minorEastAsia" w:eastAsiaTheme="minorEastAsia"/>
          <w:b/>
          <w:color w:val="000000" w:themeColor="text1"/>
        </w:rPr>
        <w:t xml:space="preserve">月 </w:t>
      </w:r>
      <w:r>
        <w:rPr>
          <w:rFonts w:hint="eastAsia" w:asciiTheme="minorEastAsia" w:hAnsiTheme="minorEastAsia" w:eastAsiaTheme="minorEastAsia"/>
          <w:b/>
          <w:color w:val="000000" w:themeColor="text1"/>
          <w:lang w:val="en-US" w:eastAsia="zh-CN"/>
        </w:rPr>
        <w:t>16</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QMS(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EMS(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lang w:eastAsia="zh-CN"/>
        </w:rPr>
        <w:t>☑</w:t>
      </w:r>
      <w:r>
        <w:rPr>
          <w:rFonts w:hint="eastAsia"/>
          <w:b/>
          <w:color w:val="000000" w:themeColor="text1"/>
          <w:szCs w:val="21"/>
        </w:rPr>
        <w:t xml:space="preserve">OHSMS(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lang w:eastAsia="zh-CN"/>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w:t>
      </w:r>
      <w:r>
        <w:drawing>
          <wp:inline distT="0" distB="0" distL="114300" distR="114300">
            <wp:extent cx="847725" cy="528955"/>
            <wp:effectExtent l="0" t="0" r="3175"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6"/>
                    <a:stretch>
                      <a:fillRect/>
                    </a:stretch>
                  </pic:blipFill>
                  <pic:spPr>
                    <a:xfrm>
                      <a:off x="0" y="0"/>
                      <a:ext cx="847725" cy="528955"/>
                    </a:xfrm>
                    <a:prstGeom prst="rect">
                      <a:avLst/>
                    </a:prstGeom>
                    <a:noFill/>
                    <a:ln>
                      <a:noFill/>
                    </a:ln>
                  </pic:spPr>
                </pic:pic>
              </a:graphicData>
            </a:graphic>
          </wp:inline>
        </w:drawing>
      </w:r>
      <w:r>
        <w:rPr>
          <w:rFonts w:hint="eastAsia"/>
          <w:b/>
          <w:color w:val="000000" w:themeColor="text1"/>
          <w:szCs w:val="21"/>
        </w:rPr>
        <w:t xml:space="preserve">                    </w:t>
      </w:r>
      <w:bookmarkStart w:id="10" w:name="_GoBack"/>
      <w:bookmarkEnd w:id="10"/>
      <w:r>
        <w:rPr>
          <w:rFonts w:hint="eastAsia"/>
          <w:b/>
          <w:color w:val="000000" w:themeColor="text1"/>
          <w:szCs w:val="21"/>
        </w:rPr>
        <w:t xml:space="preserve">日期:    </w:t>
      </w:r>
      <w:r>
        <w:rPr>
          <w:rFonts w:hint="eastAsia"/>
          <w:b/>
          <w:color w:val="000000" w:themeColor="text1"/>
          <w:szCs w:val="21"/>
          <w:lang w:val="en-US" w:eastAsia="zh-CN"/>
        </w:rPr>
        <w:t>2020</w:t>
      </w:r>
      <w:r>
        <w:rPr>
          <w:rFonts w:hint="eastAsia"/>
          <w:b/>
          <w:color w:val="000000" w:themeColor="text1"/>
          <w:szCs w:val="21"/>
        </w:rPr>
        <w:t xml:space="preserve">   年</w:t>
      </w:r>
      <w:r>
        <w:rPr>
          <w:rFonts w:hint="eastAsia"/>
          <w:b/>
          <w:color w:val="000000" w:themeColor="text1"/>
          <w:szCs w:val="21"/>
          <w:lang w:val="en-US" w:eastAsia="zh-CN"/>
        </w:rPr>
        <w:t>11</w:t>
      </w:r>
      <w:r>
        <w:rPr>
          <w:rFonts w:hint="eastAsia"/>
          <w:b/>
          <w:color w:val="000000" w:themeColor="text1"/>
          <w:szCs w:val="21"/>
        </w:rPr>
        <w:t>月</w:t>
      </w:r>
      <w:r>
        <w:rPr>
          <w:rFonts w:hint="eastAsia"/>
          <w:b/>
          <w:color w:val="000000" w:themeColor="text1"/>
          <w:szCs w:val="21"/>
          <w:lang w:val="en-US" w:eastAsia="zh-CN"/>
        </w:rPr>
        <w:t>16</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7"/>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认证评定负责人：日期：年月日</w:t>
      </w:r>
    </w:p>
    <w:p>
      <w:pPr>
        <w:numPr>
          <w:ilvl w:val="0"/>
          <w:numId w:val="7"/>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批准人（总经理）：日期：年月日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Lucida Sans">
    <w:altName w:val="Lucida Sans Unicode"/>
    <w:panose1 w:val="00000000000000000000"/>
    <w:charset w:val="00"/>
    <w:family w:val="swiss"/>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9"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9"/>
  </w:p>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5D1587"/>
    <w:multiLevelType w:val="singleLevel"/>
    <w:tmpl w:val="C75D1587"/>
    <w:lvl w:ilvl="0" w:tentative="0">
      <w:start w:val="5"/>
      <w:numFmt w:val="decimal"/>
      <w:suff w:val="space"/>
      <w:lvlText w:val="%1."/>
      <w:lvlJc w:val="left"/>
    </w:lvl>
  </w:abstractNum>
  <w:abstractNum w:abstractNumId="1">
    <w:nsid w:val="F16C66C2"/>
    <w:multiLevelType w:val="singleLevel"/>
    <w:tmpl w:val="F16C66C2"/>
    <w:lvl w:ilvl="0" w:tentative="0">
      <w:start w:val="1"/>
      <w:numFmt w:val="decimal"/>
      <w:lvlText w:val="%1."/>
      <w:lvlJc w:val="left"/>
      <w:pPr>
        <w:tabs>
          <w:tab w:val="left" w:pos="312"/>
        </w:tabs>
      </w:pPr>
    </w:lvl>
  </w:abstractNum>
  <w:abstractNum w:abstractNumId="2">
    <w:nsid w:val="3E3348D5"/>
    <w:multiLevelType w:val="singleLevel"/>
    <w:tmpl w:val="3E3348D5"/>
    <w:lvl w:ilvl="0" w:tentative="0">
      <w:start w:val="2"/>
      <w:numFmt w:val="decimal"/>
      <w:suff w:val="nothing"/>
      <w:lvlText w:val="%1、"/>
      <w:lvlJc w:val="left"/>
    </w:lvl>
  </w:abstractNum>
  <w:abstractNum w:abstractNumId="3">
    <w:nsid w:val="45A72B32"/>
    <w:multiLevelType w:val="singleLevel"/>
    <w:tmpl w:val="45A72B32"/>
    <w:lvl w:ilvl="0" w:tentative="0">
      <w:start w:val="8"/>
      <w:numFmt w:val="decimal"/>
      <w:suff w:val="space"/>
      <w:lvlText w:val="%1."/>
      <w:lvlJc w:val="left"/>
    </w:lvl>
  </w:abstractNum>
  <w:abstractNum w:abstractNumId="4">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4"/>
  </w:num>
  <w:num w:numId="2">
    <w:abstractNumId w:val="2"/>
  </w:num>
  <w:num w:numId="3">
    <w:abstractNumId w:val="5"/>
  </w:num>
  <w:num w:numId="4">
    <w:abstractNumId w:val="3"/>
  </w:num>
  <w:num w:numId="5">
    <w:abstractNumId w:val="1"/>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2131BC"/>
    <w:rsid w:val="189A4F53"/>
    <w:rsid w:val="19E14C11"/>
    <w:rsid w:val="1AF42C43"/>
    <w:rsid w:val="23086D89"/>
    <w:rsid w:val="32331EC4"/>
    <w:rsid w:val="49B01DC7"/>
    <w:rsid w:val="541D6994"/>
    <w:rsid w:val="577A5F4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1"/>
    <w:pPr>
      <w:spacing w:line="251" w:lineRule="exact"/>
      <w:ind w:left="20"/>
    </w:pPr>
    <w:rPr>
      <w:rFonts w:ascii="宋体" w:hAnsi="宋体" w:eastAsia="宋体" w:cs="宋体"/>
      <w:sz w:val="21"/>
      <w:szCs w:val="21"/>
      <w:lang w:val="zh-CN" w:eastAsia="zh-CN" w:bidi="zh-CN"/>
    </w:rPr>
  </w:style>
  <w:style w:type="paragraph" w:styleId="4">
    <w:name w:val="Balloon Text"/>
    <w:basedOn w:val="1"/>
    <w:link w:val="15"/>
    <w:semiHidden/>
    <w:unhideWhenUsed/>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6"/>
    <w:uiPriority w:val="99"/>
    <w:rPr>
      <w:rFonts w:ascii="Times New Roman" w:hAnsi="Times New Roman" w:eastAsia="宋体" w:cs="Times New Roman"/>
      <w:sz w:val="18"/>
      <w:szCs w:val="18"/>
    </w:rPr>
  </w:style>
  <w:style w:type="character" w:customStyle="1" w:styleId="14">
    <w:name w:val="页脚 Char"/>
    <w:basedOn w:val="10"/>
    <w:link w:val="5"/>
    <w:qFormat/>
    <w:uiPriority w:val="99"/>
    <w:rPr>
      <w:rFonts w:ascii="Times New Roman" w:hAnsi="Times New Roman" w:eastAsia="宋体" w:cs="Times New Roman"/>
      <w:sz w:val="18"/>
      <w:szCs w:val="18"/>
    </w:rPr>
  </w:style>
  <w:style w:type="character" w:customStyle="1" w:styleId="15">
    <w:name w:val="批注框文本 Char"/>
    <w:basedOn w:val="10"/>
    <w:link w:val="4"/>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列出段落1"/>
    <w:basedOn w:val="1"/>
    <w:qFormat/>
    <w:uiPriority w:val="34"/>
    <w:pPr>
      <w:ind w:firstLine="420" w:firstLineChars="200"/>
    </w:pPr>
  </w:style>
  <w:style w:type="paragraph" w:customStyle="1" w:styleId="1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叶子</cp:lastModifiedBy>
  <cp:lastPrinted>2019-05-13T03:19:00Z</cp:lastPrinted>
  <dcterms:modified xsi:type="dcterms:W3CDTF">2020-11-14T05:42:09Z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