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天津贵和鸿兴钢结构工程有限公司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0629-2020-EO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刘玉香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13802139616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support@ycdiecut.com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刘涛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/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E：钢结构加工(法规强制要求范围除外)所涉及的相关环境管理活动</w:t>
            </w:r>
          </w:p>
          <w:p>
            <w:r>
              <w:t>O：钢结构加工(法规强制要求范围除外)所涉及的相关职业健康安全管理活动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E：17.06.01</w:t>
            </w:r>
          </w:p>
          <w:p>
            <w:r>
              <w:t>O：17.06.01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审核于2020年11月14日 上午至2020年11月14日 下午 (共1.0天)。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生产场所的危险源辨识、环境因素识别、环保设备、安全设施等对环境及职业健康安全的影响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S:4.1/4.3/5.2/6.2/9.3/7.1/9.1.1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S/5.4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午休时间 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13：00-16：30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sz w:val="21"/>
                <w:szCs w:val="21"/>
              </w:rPr>
              <w:t>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生产场所的危险源辨识、环境因素识别、环保设备、安全设施等对环境及职业健康安全的影响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9A448A"/>
    <w:rsid w:val="4596764E"/>
    <w:rsid w:val="627D5840"/>
    <w:rsid w:val="6523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2020-11-14T04:53:59Z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