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221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佛山市顺通通风设备有限公司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郭宣丽、杨伟麟</w:t>
            </w:r>
            <w:r>
              <w:rPr>
                <w:rFonts w:hint="eastAsia"/>
              </w:rPr>
              <w:t xml:space="preserve"> </w:t>
            </w:r>
            <w:r>
              <w:rPr>
                <w:rFonts w:hint="eastAsia"/>
              </w:rPr>
              <w:t>杨伟麟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665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杨伟麟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440681199205123658</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2025年12月31日上午至2025年12月31日上午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2025年12月31日上午至2025年12月31日上午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郭宣丽、杨伟麟</w:t>
      </w:r>
      <w:r>
        <w:rPr>
          <w:rFonts w:hint="eastAsia"/>
          <w:b/>
          <w:color w:val="auto"/>
          <w:kern w:val="2"/>
          <w:sz w:val="21"/>
          <w:lang w:val="en-GB"/>
        </w:rPr>
        <w:t xml:space="preserve"> </w:t>
      </w:r>
      <w:r>
        <w:rPr>
          <w:rFonts w:hint="eastAsia"/>
          <w:b/>
          <w:color w:val="auto"/>
          <w:kern w:val="2"/>
          <w:sz w:val="21"/>
          <w:lang w:val="en-GB"/>
        </w:rPr>
        <w:t>杨伟麟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771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