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noWrap w:val="0"/>
            <w:vAlign w:val="center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 w:ascii="楷体" w:hAnsi="楷体" w:eastAsia="楷体" w:cs="楷体"/>
                <w:sz w:val="24"/>
                <w:szCs w:val="24"/>
              </w:rPr>
              <w:t>九江市中佳实业有限公司</w:t>
            </w:r>
            <w:bookmarkEnd w:id="0"/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004" w:type="dxa"/>
            <w:noWrap w:val="0"/>
            <w:vAlign w:val="center"/>
          </w:tcPr>
          <w:p>
            <w:pPr>
              <w:spacing w:before="12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审核员： 伍光华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文波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审核时间：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2020.11.18</w:t>
            </w:r>
          </w:p>
        </w:tc>
        <w:tc>
          <w:tcPr>
            <w:tcW w:w="1585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00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审核条款：■ GB/T 19001:2016 idt ISO 9001:2015标准   不适用条款:8.3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□ GB/T 50430-2007标准   不适用条款: 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□ GB/T 24001-2016 idt ISO 14001:2015标准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□ GB/T 28001-2011 idt OHSAS 18001:2007标准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■客户管理体系文件   ■适用的法律法规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 2" w:char="0052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其他</w:t>
            </w:r>
          </w:p>
        </w:tc>
        <w:tc>
          <w:tcPr>
            <w:tcW w:w="1585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产品生产工作流程、适用标准和法规；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现场基础设施和工作环境是否具备提供产品和服务的能力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监视和测量资源</w:t>
            </w: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2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特种设备</w:t>
            </w: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设计和开发控制情况； </w:t>
            </w: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生产和服务提供的控制、检验或验证要求是否策划充分、适宜；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方针、目标指标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内审和管理评审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组织机构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巡查现场</w:t>
            </w:r>
          </w:p>
          <w:p>
            <w:pPr>
              <w:spacing w:line="400" w:lineRule="exac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004" w:type="dxa"/>
            <w:noWrap w:val="0"/>
            <w:vAlign w:val="top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磺化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稀释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沉降分层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溴化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精制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烘干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——入 库</w:t>
            </w:r>
          </w:p>
          <w:p>
            <w:pP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A组分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B组分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C组分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D组分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F组分</w:t>
            </w:r>
          </w:p>
          <w:p>
            <w:pP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A组分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Courier New"/>
                <w:color w:val="auto"/>
                <w:sz w:val="24"/>
                <w:szCs w:val="24"/>
                <w:lang w:val="en-US" w:eastAsia="zh-CN"/>
              </w:rPr>
              <w:t>B组分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特殊工序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。</w:t>
            </w:r>
          </w:p>
          <w:tbl>
            <w:tblPr>
              <w:tblStyle w:val="6"/>
              <w:tblW w:w="993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  <w:jc w:val="center"/>
              </w:trPr>
              <w:tc>
                <w:tcPr>
                  <w:tcW w:w="99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bottom"/>
                </w:tcPr>
                <w:p>
                  <w:pPr>
                    <w:spacing w:line="240" w:lineRule="auto"/>
                    <w:ind w:firstLine="482" w:firstLineChars="200"/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  <w:t>适用的标准和法律法规:</w:t>
                  </w:r>
                </w:p>
                <w:p>
                  <w:pPr>
                    <w:autoSpaceDN w:val="0"/>
                    <w:spacing w:line="240" w:lineRule="auto"/>
                    <w:textAlignment w:val="center"/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t>中华人民共和国产品质量法、中华人民共和国合同法、中华人民共和国招投标法、</w:t>
                  </w:r>
                </w:p>
                <w:p>
                  <w:pPr>
                    <w:autoSpaceDN w:val="0"/>
                    <w:spacing w:line="240" w:lineRule="auto"/>
                    <w:textAlignment w:val="center"/>
                    <w:rPr>
                      <w:rFonts w:hint="default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t>中华人民共和国安全法、中华人民共和国标准化法、GB/T 19000-2016质量管理体系 基和GB/T19001质量管理体系 要求</w:t>
                  </w: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酸性蓝01BZQ25等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  <w:jc w:val="center"/>
              </w:trPr>
              <w:tc>
                <w:tcPr>
                  <w:tcW w:w="99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bottom"/>
                </w:tcPr>
                <w:p>
                  <w:pPr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  <w:jc w:val="center"/>
              </w:trPr>
              <w:tc>
                <w:tcPr>
                  <w:tcW w:w="99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bottom"/>
                </w:tcPr>
                <w:p>
                  <w:pPr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经现场查看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九江市中佳实业有限公司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，生产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经营地址:</w:t>
            </w:r>
            <w:bookmarkStart w:id="1" w:name="注册地址"/>
            <w:r>
              <w:rPr>
                <w:rFonts w:hint="eastAsia" w:ascii="楷体" w:hAnsi="楷体" w:eastAsia="楷体" w:cs="楷体"/>
                <w:sz w:val="24"/>
                <w:szCs w:val="24"/>
              </w:rPr>
              <w:t>江西省九江市湖口县金砂湾工业园柘矶路33号</w:t>
            </w:r>
            <w:bookmarkEnd w:id="1"/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</w:rPr>
              <w:t>占地50000余平米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，厂内主要设备有: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搪玻璃</w:t>
            </w:r>
            <w:bookmarkStart w:id="2" w:name="_GoBack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反应罐</w:t>
            </w:r>
            <w:bookmarkEnd w:id="2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不锈钢泵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管道泵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酒精泵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衬氟泵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混合精细均质泵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压榨泵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旋涡式自吸泵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钢衬防腐瓷砖罐、石墨冷凝器、桶式过滤器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等。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现场基础设施和工作环境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能够满足产品和服务的需要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。</w:t>
            </w:r>
          </w:p>
          <w:p>
            <w:pPr>
              <w:pStyle w:val="13"/>
              <w:ind w:left="0" w:leftChars="0" w:right="420" w:firstLine="0" w:firstLine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电子天平、分光光度计、PH计、水份测定仪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液相色谱等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是监视或测量产品是否符合要求的测量设备，为保证结果有效可靠，测量设备送有资质的检测单价检测，可进行测量溯源。</w:t>
            </w:r>
          </w:p>
          <w:p>
            <w:pPr>
              <w:pStyle w:val="13"/>
              <w:ind w:left="360" w:right="42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8.3条款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不涉及，所有产品均按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客户要求和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相关标准生产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删减后不会对满足顾客要求和法规要求产生任何的影响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由生产部负责生产和服务提供的控制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公司以产品标准、服务质量标准、合同等确定产品和服务的要求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在生产和服务过程中建立相关准则：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1、过程运行规范，如生产工艺，流程图，设计图，操作规程，检查、检验规程等；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2、产品和服务的验证标准。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3、资源配置要求；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4、实施过程控制的规范；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采购、销售及顾客满意度按控制规范（程序文件）执行，具体在二阶段审核关注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default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/>
              </w:rPr>
              <w:t>无多场所，注册地址与申报相一致。</w:t>
            </w:r>
          </w:p>
          <w:p>
            <w:pPr>
              <w:tabs>
                <w:tab w:val="right" w:pos="10380"/>
              </w:tabs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tabs>
                <w:tab w:val="right" w:pos="10380"/>
              </w:tabs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公司的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一体化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方针：</w:t>
            </w:r>
          </w:p>
          <w:p>
            <w:pPr>
              <w:tabs>
                <w:tab w:val="right" w:pos="10380"/>
              </w:tabs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精益求精,以优质的产品谋求企业发展;  诚实守信,以一流的服务赢得客户满意。</w:t>
            </w:r>
          </w:p>
          <w:p>
            <w:pPr>
              <w:spacing w:line="400" w:lineRule="exact"/>
              <w:ind w:left="862"/>
              <w:rPr>
                <w:rFonts w:hint="eastAsia" w:ascii="楷体" w:hAnsi="楷体" w:eastAsia="楷体" w:cs="楷体"/>
                <w:b/>
                <w:bCs/>
                <w:spacing w:val="2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20"/>
                <w:sz w:val="24"/>
              </w:rPr>
              <w:t>质量目标：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1）产品一次交验合格率≥98 %;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2）出厂合格率100%；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3）顾客满意度不低于95分；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公司于20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日召开了管理评审会议，由总经理主持。提供管理评审报告，具体内容，二阶段进一步审核.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管理层、生产部、综合部、营销部、技术部、财务部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巡查现场办公环境、基础设施、消防设施，人员作业情况等，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确认企业现有人员149人，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确认二阶段资源配置情况。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具备二阶段审核的条件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</w:pPr>
      <w:r>
        <w:rPr>
          <w:rFonts w:hint="eastAsia" w:ascii="楷体" w:hAnsi="楷体" w:eastAsia="楷体" w:cs="楷体"/>
          <w:sz w:val="24"/>
          <w:szCs w:val="24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D2CC4"/>
    <w:rsid w:val="0382004C"/>
    <w:rsid w:val="050364CE"/>
    <w:rsid w:val="06986B85"/>
    <w:rsid w:val="17FE2729"/>
    <w:rsid w:val="18172CA7"/>
    <w:rsid w:val="1CEF63A4"/>
    <w:rsid w:val="1EBD7090"/>
    <w:rsid w:val="1F7E2AC6"/>
    <w:rsid w:val="24BF0679"/>
    <w:rsid w:val="27C158B7"/>
    <w:rsid w:val="2C541505"/>
    <w:rsid w:val="3F3B6734"/>
    <w:rsid w:val="42C16685"/>
    <w:rsid w:val="4AA84582"/>
    <w:rsid w:val="4D7B0B23"/>
    <w:rsid w:val="5FCB4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2020-11-20T06:30:16Z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