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成都红泰塑胶管业有限公司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崇州市观胜镇联义村22组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张政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15503232345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刘启刚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合同编号"/>
            <w:r>
              <w:rPr>
                <w:sz w:val="20"/>
              </w:rPr>
              <w:t>0536-2019-EO-2020</w:t>
            </w:r>
            <w:bookmarkEnd w:id="5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pacing w:val="-2"/>
                <w:sz w:val="20"/>
                <w:lang w:eastAsia="zh-CN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6" w:name="审核类型"/>
            <w:r>
              <w:rPr>
                <w:rFonts w:hint="eastAsia" w:ascii="宋体" w:hAnsi="宋体"/>
                <w:b/>
                <w:bCs/>
                <w:sz w:val="20"/>
              </w:rPr>
              <w:t>E:监查1,O:监查1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7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7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8" w:name="审核范围"/>
            <w:r>
              <w:rPr>
                <w:sz w:val="20"/>
              </w:rPr>
              <w:t>E：塑胶管材、管件制造涉及的相关环境管理活动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O：塑胶管材、管件制造所涉及的相关职业健康安全管理活动</w:t>
            </w:r>
            <w:bookmarkEnd w:id="8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9" w:name="专业代码"/>
            <w:r>
              <w:rPr>
                <w:sz w:val="20"/>
              </w:rPr>
              <w:t>E：14.02.01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O：14.02.01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2020年11月18日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2020年11月18日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1.0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2018-N1EMS-1230067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2018-N1OHSMS-1230067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E:14.02.01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O:14.02.01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2020-N1EMS-1262293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2019-N1EMS-1247783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13883847833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2020年11月1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pPr w:leftFromText="180" w:rightFromText="180" w:vertAnchor="text" w:horzAnchor="page" w:tblpX="709" w:tblpY="421"/>
        <w:tblOverlap w:val="never"/>
        <w:tblW w:w="103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488"/>
        <w:gridCol w:w="1000"/>
        <w:gridCol w:w="5962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53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6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9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6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9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0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</w:trPr>
        <w:tc>
          <w:tcPr>
            <w:tcW w:w="86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0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962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：余家龙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管理体系变化情况</w:t>
            </w:r>
            <w:r>
              <w:rPr>
                <w:rFonts w:hint="eastAsia" w:ascii="宋体" w:hAnsi="宋体" w:cs="宋体"/>
                <w:sz w:val="21"/>
                <w:szCs w:val="21"/>
              </w:rPr>
              <w:t>，法律法规执行情况，投诉或事故/政府主管部门监督抽查情况，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认证证书及标识使用情况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</w:rPr>
              <w:t>上次不符合验证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3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</w:trPr>
        <w:tc>
          <w:tcPr>
            <w:tcW w:w="86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8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0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962" w:type="dxa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cs="新宋体"/>
                <w:sz w:val="18"/>
                <w:szCs w:val="18"/>
              </w:rPr>
              <w:t>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权限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6.1.3</w:t>
            </w:r>
            <w:r>
              <w:rPr>
                <w:rFonts w:hint="eastAsia" w:ascii="宋体" w:hAnsi="宋体" w:cs="新宋体"/>
                <w:sz w:val="18"/>
                <w:szCs w:val="18"/>
              </w:rPr>
              <w:t>法律法规要求和其他要求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6.2目标及其实现的策划；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3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atLeast"/>
        </w:trPr>
        <w:tc>
          <w:tcPr>
            <w:tcW w:w="86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8" w:type="dxa"/>
            <w:vMerge w:val="restart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13：00-16：30</w:t>
            </w:r>
          </w:p>
        </w:tc>
        <w:tc>
          <w:tcPr>
            <w:tcW w:w="1000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962" w:type="dxa"/>
            <w:vAlign w:val="top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;余家龙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；杨珍全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上次不符合验证）；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：杨珍全</w:t>
            </w:r>
          </w:p>
          <w:p>
            <w:pPr>
              <w:widowControl/>
              <w:jc w:val="lef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</w:t>
            </w:r>
            <w:bookmarkStart w:id="17" w:name="_GoBack"/>
            <w:bookmarkEnd w:id="17"/>
            <w:r>
              <w:rPr>
                <w:rFonts w:hint="eastAsia" w:ascii="宋体" w:hAnsi="宋体" w:cs="新宋体"/>
                <w:sz w:val="18"/>
                <w:szCs w:val="18"/>
              </w:rPr>
              <w:t>及其实现的策划；8.1运行策划和控制；8.2应急准备和响应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上次不符合验证）；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</w:t>
            </w:r>
          </w:p>
        </w:tc>
        <w:tc>
          <w:tcPr>
            <w:tcW w:w="103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</w:trPr>
        <w:tc>
          <w:tcPr>
            <w:tcW w:w="86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8" w:type="dxa"/>
            <w:vMerge w:val="continue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962" w:type="dxa"/>
            <w:vAlign w:val="top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;宋明珠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;杨珍全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：杨珍全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103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86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8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9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3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宋明珠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F97EF8"/>
    <w:rsid w:val="27A31535"/>
    <w:rsid w:val="27F62238"/>
    <w:rsid w:val="32A9741D"/>
    <w:rsid w:val="3B5147AB"/>
    <w:rsid w:val="40453012"/>
    <w:rsid w:val="47290994"/>
    <w:rsid w:val="633F2FFE"/>
    <w:rsid w:val="66800A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20</TotalTime>
  <ScaleCrop>false</ScaleCrop>
  <LinksUpToDate>false</LinksUpToDate>
  <CharactersWithSpaces>1223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宋明珠</cp:lastModifiedBy>
  <dcterms:modified xsi:type="dcterms:W3CDTF">2020-11-17T07:13:16Z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