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both"/>
        <w:rPr>
          <w:rFonts w:ascii="楷体" w:hAnsi="楷体" w:eastAsia="楷体"/>
          <w:b/>
          <w:color w:val="000000"/>
          <w:sz w:val="84"/>
          <w:szCs w:val="84"/>
        </w:rPr>
      </w:pPr>
      <w:r>
        <w:rPr>
          <w:rFonts w:hint="eastAsia" w:ascii="楷体" w:hAnsi="楷体" w:eastAsia="楷体"/>
          <w:color w:val="000000"/>
          <w:sz w:val="28"/>
          <w:szCs w:val="28"/>
        </w:rPr>
        <w:t>合同编号：</w:t>
      </w:r>
      <w:bookmarkStart w:id="0" w:name="合同编号"/>
      <w:r>
        <w:rPr>
          <w:color w:val="000000"/>
        </w:rPr>
        <w:t>0630-2020-Q</w:t>
      </w:r>
      <w:bookmarkEnd w:id="0"/>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成都栢晖生物科技有限公司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Lines="30"/>
        <w:ind w:firstLine="843" w:firstLineChars="300"/>
        <w:rPr>
          <w:rFonts w:ascii="楷体" w:hAnsi="楷体" w:eastAsia="楷体"/>
          <w:b/>
          <w:color w:val="000000"/>
          <w:sz w:val="28"/>
          <w:szCs w:val="28"/>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37"/>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成都栢晖生物科技有限公司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中国(四川)自由贸易试验区成都高新区天府大道北段1480号1号楼A座3层6附1号</w:t>
            </w:r>
            <w:bookmarkEnd w:id="3"/>
          </w:p>
        </w:tc>
        <w:tc>
          <w:tcPr>
            <w:tcW w:w="83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63" w:type="dxa"/>
          </w:tcPr>
          <w:p>
            <w:pPr>
              <w:spacing w:line="280" w:lineRule="exact"/>
              <w:rPr>
                <w:rFonts w:ascii="宋体"/>
                <w:b/>
                <w:color w:val="000000"/>
                <w:sz w:val="20"/>
                <w:szCs w:val="20"/>
              </w:rPr>
            </w:pPr>
            <w:bookmarkStart w:id="4" w:name="注册邮编"/>
            <w:r>
              <w:rPr>
                <w:rFonts w:ascii="宋体"/>
                <w:b/>
                <w:color w:val="000000"/>
                <w:sz w:val="20"/>
                <w:szCs w:val="20"/>
              </w:rPr>
              <w:t>610041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837" w:type="dxa"/>
            <w:vMerge w:val="continue"/>
            <w:vAlign w:val="center"/>
          </w:tcPr>
          <w:p>
            <w:pPr>
              <w:spacing w:line="280" w:lineRule="exact"/>
              <w:jc w:val="center"/>
              <w:rPr>
                <w:rFonts w:ascii="宋体"/>
                <w:b/>
                <w:color w:val="000000"/>
                <w:sz w:val="20"/>
                <w:szCs w:val="20"/>
              </w:rPr>
            </w:pPr>
          </w:p>
        </w:tc>
        <w:tc>
          <w:tcPr>
            <w:tcW w:w="1963"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四川省成都市成华区成宏路72号2号楼4层</w:t>
            </w:r>
            <w:bookmarkEnd w:id="7"/>
          </w:p>
        </w:tc>
        <w:tc>
          <w:tcPr>
            <w:tcW w:w="837" w:type="dxa"/>
            <w:vMerge w:val="continue"/>
            <w:vAlign w:val="center"/>
          </w:tcPr>
          <w:p>
            <w:pPr>
              <w:spacing w:line="280" w:lineRule="exact"/>
              <w:jc w:val="center"/>
              <w:rPr>
                <w:rFonts w:ascii="宋体"/>
                <w:b/>
                <w:color w:val="000000"/>
                <w:sz w:val="20"/>
                <w:szCs w:val="20"/>
              </w:rPr>
            </w:pPr>
          </w:p>
        </w:tc>
        <w:tc>
          <w:tcPr>
            <w:tcW w:w="1963" w:type="dxa"/>
          </w:tcPr>
          <w:p>
            <w:pPr>
              <w:spacing w:line="280" w:lineRule="exact"/>
              <w:rPr>
                <w:rFonts w:ascii="宋体"/>
                <w:b/>
                <w:color w:val="000000"/>
                <w:sz w:val="20"/>
                <w:szCs w:val="20"/>
              </w:rPr>
            </w:pPr>
            <w:bookmarkStart w:id="8" w:name="生产邮编Add1"/>
            <w:r>
              <w:rPr>
                <w:rFonts w:ascii="宋体"/>
                <w:b/>
                <w:color w:val="00000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张政</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15503232345</w:t>
            </w:r>
            <w:bookmarkEnd w:id="10"/>
          </w:p>
        </w:tc>
        <w:tc>
          <w:tcPr>
            <w:tcW w:w="83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63"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杨锦兀</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陈科慧</w:t>
            </w:r>
            <w:bookmarkEnd w:id="13"/>
          </w:p>
        </w:tc>
        <w:tc>
          <w:tcPr>
            <w:tcW w:w="837" w:type="dxa"/>
          </w:tcPr>
          <w:p>
            <w:pPr>
              <w:jc w:val="center"/>
              <w:rPr>
                <w:rFonts w:ascii="宋体"/>
                <w:b/>
                <w:color w:val="000000"/>
                <w:sz w:val="20"/>
                <w:szCs w:val="20"/>
              </w:rPr>
            </w:pPr>
            <w:r>
              <w:rPr>
                <w:rFonts w:hint="eastAsia" w:ascii="宋体"/>
                <w:b/>
                <w:color w:val="000000"/>
                <w:sz w:val="20"/>
                <w:szCs w:val="20"/>
              </w:rPr>
              <w:t>邮箱</w:t>
            </w:r>
          </w:p>
        </w:tc>
        <w:tc>
          <w:tcPr>
            <w:tcW w:w="1963" w:type="dxa"/>
          </w:tcPr>
          <w:p>
            <w:pPr>
              <w:rPr>
                <w:rFonts w:ascii="宋体"/>
                <w:b/>
                <w:color w:val="000000"/>
                <w:sz w:val="20"/>
                <w:szCs w:val="20"/>
              </w:rPr>
            </w:pPr>
            <w:bookmarkStart w:id="14" w:name="联系人邮箱Add1"/>
            <w:r>
              <w:rPr>
                <w:rFonts w:ascii="宋体"/>
                <w:b/>
                <w:color w:val="000000"/>
                <w:sz w:val="20"/>
                <w:szCs w:val="20"/>
              </w:rPr>
              <w:t>1874952083@qq.com</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土壤、植物、水质理化分析技术服务</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34.06.00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numPr>
          <w:ilvl w:val="0"/>
          <w:numId w:val="0"/>
        </w:numPr>
        <w:rPr>
          <w:rFonts w:hint="eastAsia" w:ascii="宋体" w:hAnsi="宋体"/>
          <w:b/>
          <w:color w:val="000000"/>
          <w:spacing w:val="-8"/>
          <w:sz w:val="26"/>
          <w:szCs w:val="26"/>
        </w:rPr>
      </w:pPr>
    </w:p>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4"/>
          <w:szCs w:val="24"/>
          <w:lang w:eastAsia="zh-CN"/>
        </w:rPr>
        <w:t>管理层、行政部、试验部、销售部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17" w:name="生产地址"/>
      <w:r>
        <w:t>四川省成都市成华区成宏路72号2号楼4层</w:t>
      </w:r>
      <w:bookmarkEnd w:id="17"/>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MS Mincho" w:hAnsi="MS Mincho" w:cs="MS Mincho"/>
                <w:b/>
                <w:color w:val="000000"/>
                <w:spacing w:val="-10"/>
                <w:szCs w:val="21"/>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rPr>
              <w:t>（</w:t>
            </w:r>
            <w:r>
              <w:rPr>
                <w:rFonts w:hint="eastAsia" w:ascii="宋体" w:hAnsi="宋体"/>
                <w:color w:val="000000"/>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hAnsi="宋体"/>
                <w:color w:val="000000"/>
                <w:sz w:val="20"/>
                <w:szCs w:val="20"/>
              </w:rPr>
            </w:pPr>
            <w:r>
              <w:rPr>
                <w:rFonts w:hint="eastAsia" w:ascii="宋体" w:hAnsi="宋体"/>
                <w:b/>
                <w:color w:val="000000"/>
                <w:sz w:val="20"/>
                <w:szCs w:val="20"/>
              </w:rPr>
              <w:t>产品：</w:t>
            </w:r>
            <w:r>
              <w:rPr>
                <w:rFonts w:hint="eastAsia" w:ascii="宋体" w:hAnsi="宋体"/>
                <w:color w:val="000000"/>
                <w:sz w:val="20"/>
                <w:szCs w:val="20"/>
              </w:rPr>
              <w:t xml:space="preserve">土壤、植物、水质理化分析技术服务 </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eastAsia="宋体" w:cs="Times New Roman"/>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val="0"/>
                <w:bCs/>
                <w:color w:val="000000"/>
                <w:sz w:val="20"/>
                <w:szCs w:val="20"/>
                <w:lang w:eastAsia="zh-CN"/>
              </w:rPr>
              <w:t>行政部、试验部、销售部</w:t>
            </w:r>
            <w:r>
              <w:rPr>
                <w:rFonts w:hint="eastAsia" w:ascii="宋体" w:hAnsi="宋体" w:eastAsia="宋体" w:cs="Times New Roman"/>
                <w:b/>
                <w:color w:val="000000"/>
                <w:sz w:val="20"/>
                <w:szCs w:val="20"/>
              </w:rPr>
              <w:t>。</w:t>
            </w:r>
          </w:p>
          <w:p>
            <w:pPr>
              <w:tabs>
                <w:tab w:val="left" w:pos="360"/>
              </w:tabs>
              <w:spacing w:beforeLines="50"/>
              <w:ind w:left="357" w:hanging="357"/>
              <w:rPr>
                <w:rFonts w:hint="eastAsia" w:ascii="宋体" w:hAnsi="宋体" w:eastAsia="宋体" w:cs="Times New Roman"/>
                <w:b w:val="0"/>
                <w:bCs/>
                <w:color w:val="000000"/>
                <w:sz w:val="20"/>
                <w:szCs w:val="20"/>
                <w:lang w:eastAsia="zh-CN"/>
              </w:rPr>
            </w:pPr>
            <w:r>
              <w:rPr>
                <w:rFonts w:hint="eastAsia" w:ascii="宋体" w:hAnsi="宋体" w:eastAsia="宋体" w:cs="Times New Roman"/>
                <w:b/>
                <w:color w:val="000000"/>
                <w:sz w:val="20"/>
                <w:szCs w:val="20"/>
              </w:rPr>
              <w:t>管理体系推进部门：</w:t>
            </w:r>
            <w:r>
              <w:rPr>
                <w:rFonts w:hint="eastAsia" w:ascii="宋体" w:hAnsi="宋体" w:eastAsia="宋体" w:cs="Times New Roman"/>
                <w:b w:val="0"/>
                <w:bCs/>
                <w:color w:val="000000"/>
                <w:sz w:val="20"/>
                <w:szCs w:val="20"/>
                <w:lang w:eastAsia="zh-CN"/>
              </w:rPr>
              <w:t>行政部</w:t>
            </w:r>
          </w:p>
          <w:p>
            <w:pPr>
              <w:tabs>
                <w:tab w:val="left" w:pos="360"/>
              </w:tabs>
              <w:spacing w:beforeLines="50"/>
              <w:ind w:left="357" w:hanging="357"/>
              <w:rPr>
                <w:rFonts w:hint="eastAsia" w:ascii="宋体" w:hAnsi="宋体" w:eastAsia="宋体" w:cs="Times New Roman"/>
                <w:b w:val="0"/>
                <w:bCs/>
                <w:color w:val="000000"/>
                <w:sz w:val="20"/>
                <w:szCs w:val="20"/>
                <w:lang w:eastAsia="zh-CN"/>
              </w:rPr>
            </w:pPr>
            <w:r>
              <w:rPr>
                <w:rFonts w:hint="eastAsia" w:ascii="宋体" w:hAnsi="宋体" w:eastAsia="宋体" w:cs="Times New Roman"/>
                <w:b/>
                <w:color w:val="000000"/>
                <w:sz w:val="20"/>
                <w:szCs w:val="20"/>
              </w:rPr>
              <w:t>质量管理部门：</w:t>
            </w:r>
            <w:r>
              <w:rPr>
                <w:rFonts w:hint="eastAsia" w:ascii="宋体" w:hAnsi="宋体" w:eastAsia="宋体" w:cs="Times New Roman"/>
                <w:b w:val="0"/>
                <w:bCs/>
                <w:color w:val="000000"/>
                <w:sz w:val="20"/>
                <w:szCs w:val="20"/>
                <w:lang w:eastAsia="zh-CN"/>
              </w:rPr>
              <w:t>试验部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t>四川省成都市成华区成宏路72号2号楼4层</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其使用的建筑设施是：</w:t>
            </w:r>
            <w:r>
              <w:rPr>
                <w:rFonts w:hint="eastAsia" w:ascii="宋体" w:hAnsi="宋体"/>
                <w:color w:val="000000"/>
                <w:sz w:val="20"/>
                <w:szCs w:val="20"/>
                <w:lang w:eastAsia="zh-CN"/>
              </w:rPr>
              <w:t>□</w:t>
            </w:r>
            <w:r>
              <w:rPr>
                <w:rFonts w:hint="eastAsia" w:ascii="宋体" w:hAnsi="宋体"/>
                <w:color w:val="000000"/>
                <w:sz w:val="20"/>
                <w:szCs w:val="20"/>
              </w:rPr>
              <w:t>自</w:t>
            </w:r>
            <w:r>
              <w:rPr>
                <w:rFonts w:hint="eastAsia" w:ascii="宋体" w:hAnsi="宋体"/>
                <w:color w:val="000000"/>
                <w:sz w:val="20"/>
                <w:szCs w:val="20"/>
                <w:lang w:eastAsia="zh-CN"/>
              </w:rPr>
              <w:t>有</w:t>
            </w:r>
            <w:r>
              <w:rPr>
                <w:rFonts w:hint="eastAsia" w:ascii="宋体" w:hAnsi="宋体"/>
                <w:color w:val="000000"/>
                <w:sz w:val="20"/>
                <w:szCs w:val="20"/>
              </w:rPr>
              <w:t xml:space="preserve">办公用房    □自建厂房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cs="Arial"/>
                <w:color w:val="000000"/>
                <w:sz w:val="21"/>
                <w:szCs w:val="21"/>
                <w:shd w:val="clear" w:color="auto" w:fill="FFFFFF"/>
              </w:rPr>
            </w:pPr>
            <w:r>
              <w:rPr>
                <w:rFonts w:hint="eastAsia" w:ascii="宋体"/>
                <w:color w:val="000000"/>
                <w:sz w:val="20"/>
                <w:szCs w:val="20"/>
              </w:rPr>
              <w:t>□产品技术标准号：土壤微生物生物量测定方法及其应用、水和废水监测分析方法、NY/T 2637-2014 水果和蔬菜可溶性固形物测定折射仪法、NY/T 2017-2011 植物中氮、磷、钾测定 、数据采集规程、设备操作规程、客户要求等。</w:t>
            </w: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 xml:space="preserve">现场是否有产品检验报告  </w:t>
            </w:r>
            <w:r>
              <w:rPr>
                <w:rFonts w:hint="eastAsia" w:ascii="宋体" w:hAnsi="宋体"/>
                <w:color w:val="00000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16"/>
              <w:rPr>
                <w:rFonts w:ascii="宋体"/>
                <w:color w:val="000000"/>
                <w:sz w:val="20"/>
                <w:szCs w:val="20"/>
              </w:rPr>
            </w:pPr>
            <w:r>
              <w:rPr>
                <w:rFonts w:hint="eastAsia" w:ascii="Times New Roman" w:hAnsi="Times New Roman" w:cs="Times New Roman"/>
                <w:szCs w:val="22"/>
              </w:rPr>
              <w:t>合同或协议签订—</w:t>
            </w:r>
            <w:r>
              <w:rPr>
                <w:rFonts w:hint="eastAsia" w:ascii="Times New Roman" w:hAnsi="Times New Roman" w:cs="Times New Roman"/>
                <w:szCs w:val="22"/>
                <w:lang w:eastAsia="zh-CN"/>
              </w:rPr>
              <w:t>客户送</w:t>
            </w:r>
            <w:r>
              <w:rPr>
                <w:rFonts w:hint="eastAsia" w:ascii="Times New Roman" w:hAnsi="Times New Roman" w:cs="Times New Roman"/>
                <w:szCs w:val="22"/>
              </w:rPr>
              <w:t>样—</w:t>
            </w:r>
            <w:r>
              <w:rPr>
                <w:rFonts w:hint="eastAsia" w:ascii="Times New Roman" w:hAnsi="Times New Roman" w:cs="Times New Roman"/>
                <w:szCs w:val="22"/>
                <w:lang w:eastAsia="zh-CN"/>
              </w:rPr>
              <w:t>采集数据</w:t>
            </w:r>
            <w:r>
              <w:rPr>
                <w:rFonts w:hint="eastAsia" w:ascii="Times New Roman" w:hAnsi="Times New Roman" w:cs="Times New Roman"/>
                <w:szCs w:val="22"/>
                <w:lang w:val="en-US" w:eastAsia="zh-CN"/>
              </w:rPr>
              <w:t xml:space="preserve">-- </w:t>
            </w:r>
            <w:r>
              <w:rPr>
                <w:rFonts w:hint="eastAsia" w:ascii="Times New Roman" w:hAnsi="Times New Roman" w:cs="Times New Roman"/>
                <w:szCs w:val="22"/>
                <w:lang w:eastAsia="zh-CN"/>
              </w:rPr>
              <w:t>进行分析</w:t>
            </w:r>
            <w:r>
              <w:rPr>
                <w:rFonts w:hint="eastAsia" w:ascii="Times New Roman" w:hAnsi="Times New Roman" w:cs="Times New Roman"/>
                <w:szCs w:val="22"/>
              </w:rPr>
              <w:t>—出具报告—交付。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s="Times New Roman"/>
                <w:color w:val="000000"/>
                <w:spacing w:val="-10"/>
                <w:sz w:val="20"/>
                <w:szCs w:val="20"/>
                <w:lang w:eastAsia="zh-CN"/>
              </w:rPr>
            </w:pPr>
            <w:r>
              <w:rPr>
                <w:rFonts w:hint="eastAsia" w:ascii="宋体" w:hAnsi="宋体" w:cs="Times New Roman"/>
                <w:color w:val="000000"/>
                <w:spacing w:val="-10"/>
                <w:sz w:val="20"/>
                <w:szCs w:val="20"/>
              </w:rPr>
              <w:t>关键过程有：</w:t>
            </w:r>
            <w:r>
              <w:rPr>
                <w:rFonts w:hint="eastAsia" w:ascii="宋体" w:hAnsi="宋体" w:cs="Times New Roman"/>
                <w:color w:val="000000"/>
                <w:spacing w:val="-10"/>
                <w:sz w:val="20"/>
                <w:szCs w:val="20"/>
                <w:lang w:eastAsia="zh-CN"/>
              </w:rPr>
              <w:t>理化分析服务过程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s="Times New Roman"/>
                <w:color w:val="000000"/>
                <w:spacing w:val="-10"/>
                <w:sz w:val="20"/>
                <w:szCs w:val="20"/>
                <w:lang w:val="en-US" w:eastAsia="zh-CN"/>
              </w:rPr>
            </w:pPr>
            <w:r>
              <w:rPr>
                <w:rFonts w:hint="eastAsia" w:ascii="宋体" w:hAnsi="宋体" w:cs="Times New Roman"/>
                <w:color w:val="000000"/>
                <w:spacing w:val="-10"/>
                <w:sz w:val="20"/>
                <w:szCs w:val="20"/>
                <w:lang w:val="en-US" w:eastAsia="zh-CN"/>
              </w:rPr>
              <w:t>针对关键过程建立的控制文件有：《分析数据报告控制和发布制度》、《数据采集试验规程》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s="Times New Roman"/>
                <w:color w:val="000000"/>
                <w:spacing w:val="-10"/>
                <w:sz w:val="20"/>
                <w:szCs w:val="20"/>
                <w:lang w:val="en-US" w:eastAsia="zh-CN"/>
              </w:rPr>
            </w:pPr>
            <w:r>
              <w:rPr>
                <w:rFonts w:hint="eastAsia" w:ascii="宋体" w:hAnsi="宋体" w:cs="Times New Roman"/>
                <w:color w:val="000000"/>
                <w:spacing w:val="-10"/>
                <w:sz w:val="20"/>
                <w:szCs w:val="20"/>
                <w:lang w:val="en-US" w:eastAsia="zh-CN"/>
              </w:rPr>
              <w:t>需要确认过程：理化分析服务过程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s="Times New Roman"/>
                <w:color w:val="000000"/>
                <w:spacing w:val="-10"/>
                <w:sz w:val="20"/>
                <w:szCs w:val="20"/>
                <w:lang w:val="en-US" w:eastAsia="zh-CN"/>
              </w:rPr>
            </w:pPr>
            <w:r>
              <w:rPr>
                <w:rFonts w:hint="eastAsia" w:ascii="宋体" w:hAnsi="宋体" w:cs="Times New Roman"/>
                <w:color w:val="000000"/>
                <w:spacing w:val="-10"/>
                <w:sz w:val="20"/>
                <w:szCs w:val="20"/>
                <w:lang w:val="en-US" w:eastAsia="zh-CN"/>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s="Times New Roman"/>
                <w:color w:val="000000"/>
                <w:spacing w:val="-10"/>
                <w:sz w:val="20"/>
                <w:szCs w:val="20"/>
              </w:rPr>
            </w:pPr>
            <w:r>
              <w:rPr>
                <w:rFonts w:hint="eastAsia" w:ascii="宋体" w:hAnsi="宋体" w:cs="Times New Roman"/>
                <w:color w:val="000000"/>
                <w:spacing w:val="-10"/>
                <w:sz w:val="20"/>
                <w:szCs w:val="20"/>
              </w:rPr>
              <w:t>外包过程有：</w:t>
            </w:r>
            <w:r>
              <w:rPr>
                <w:rFonts w:hint="eastAsia" w:ascii="宋体" w:hAnsi="宋体" w:cs="Times New Roman"/>
                <w:color w:val="000000"/>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s="Times New Roman"/>
                <w:color w:val="000000"/>
                <w:spacing w:val="-10"/>
                <w:sz w:val="20"/>
                <w:szCs w:val="20"/>
                <w:lang w:eastAsia="zh-CN"/>
              </w:rPr>
            </w:pPr>
            <w:r>
              <w:rPr>
                <w:rFonts w:hint="eastAsia" w:ascii="宋体" w:hAnsi="宋体" w:cs="Times New Roman"/>
                <w:color w:val="000000"/>
                <w:spacing w:val="-10"/>
                <w:sz w:val="20"/>
                <w:szCs w:val="20"/>
              </w:rPr>
              <w:t>是否明确了外包过程的控制方法：</w:t>
            </w:r>
            <w:r>
              <w:rPr>
                <w:rFonts w:hint="eastAsia" w:ascii="宋体" w:hAnsi="宋体" w:cs="Times New Roman"/>
                <w:color w:val="000000"/>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olor w:val="000000"/>
                <w:spacing w:val="-10"/>
                <w:sz w:val="20"/>
                <w:szCs w:val="20"/>
              </w:rPr>
            </w:pPr>
            <w:r>
              <w:rPr>
                <w:rFonts w:hint="eastAsia" w:ascii="宋体" w:hAnsi="宋体" w:cs="Times New Roman"/>
                <w:color w:val="000000"/>
                <w:spacing w:val="-10"/>
                <w:sz w:val="20"/>
                <w:szCs w:val="20"/>
              </w:rPr>
              <w:t>主要设备</w:t>
            </w:r>
            <w:r>
              <w:rPr>
                <w:rFonts w:hint="eastAsia" w:ascii="宋体" w:hAnsi="宋体" w:cs="Times New Roman"/>
                <w:color w:val="000000"/>
                <w:spacing w:val="-10"/>
                <w:sz w:val="20"/>
                <w:szCs w:val="20"/>
                <w:lang w:eastAsia="zh-CN"/>
              </w:rPr>
              <w:t>：电子分析天平、全自动凯氏定氮仪、电热鼓风干燥箱、PH计、电导率仪、紫外可见分光光度计、电感耦合等离子体发射光谱仪、移液枪、火焰光度计、立式恒温摇床、超声波清洗机、高效液相色谱等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ascii="宋体" w:hAnsi="宋体" w:cs="Times New Roman"/>
                <w:color w:val="000000"/>
                <w:spacing w:val="-10"/>
                <w:sz w:val="20"/>
                <w:szCs w:val="20"/>
                <w:lang w:eastAsia="zh-CN"/>
              </w:rPr>
            </w:pPr>
            <w:r>
              <w:rPr>
                <w:rFonts w:hint="eastAsia" w:ascii="宋体" w:hAnsi="宋体" w:cs="Times New Roman"/>
                <w:color w:val="000000"/>
                <w:spacing w:val="-10"/>
                <w:sz w:val="20"/>
                <w:szCs w:val="20"/>
                <w:lang w:eastAsia="zh-CN"/>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hAnsi="宋体" w:cs="Times New Roman"/>
                <w:color w:val="000000"/>
                <w:spacing w:val="-10"/>
                <w:sz w:val="20"/>
                <w:szCs w:val="20"/>
                <w:lang w:val="en-US" w:eastAsia="zh-CN"/>
              </w:rPr>
            </w:pPr>
            <w:r>
              <w:rPr>
                <w:rFonts w:hint="eastAsia" w:ascii="宋体" w:hAnsi="宋体" w:cs="Times New Roman"/>
                <w:color w:val="000000"/>
                <w:spacing w:val="-10"/>
                <w:sz w:val="20"/>
                <w:szCs w:val="20"/>
                <w:lang w:eastAsia="zh-CN"/>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ascii="宋体" w:hAnsi="宋体" w:cs="Times New Roman"/>
                <w:color w:val="000000"/>
                <w:spacing w:val="-10"/>
                <w:sz w:val="20"/>
                <w:szCs w:val="20"/>
                <w:lang w:eastAsia="zh-CN"/>
              </w:rPr>
            </w:pPr>
            <w:r>
              <w:rPr>
                <w:rFonts w:hint="eastAsia" w:ascii="宋体" w:hAnsi="宋体" w:cs="Times New Roman"/>
                <w:color w:val="000000"/>
                <w:spacing w:val="-10"/>
                <w:sz w:val="20"/>
                <w:szCs w:val="20"/>
                <w:lang w:eastAsia="zh-CN"/>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eastAsia" w:ascii="宋体" w:hAnsi="宋体" w:cs="Times New Roman"/>
                <w:color w:val="000000"/>
                <w:spacing w:val="-10"/>
                <w:sz w:val="20"/>
                <w:szCs w:val="20"/>
                <w:lang w:eastAsia="zh-CN"/>
              </w:rPr>
            </w:pPr>
            <w:r>
              <w:rPr>
                <w:rFonts w:hint="eastAsia" w:ascii="宋体" w:hAnsi="宋体" w:cs="Times New Roman"/>
                <w:color w:val="000000"/>
                <w:spacing w:val="-10"/>
                <w:sz w:val="20"/>
                <w:szCs w:val="20"/>
                <w:lang w:eastAsia="zh-CN"/>
              </w:rPr>
              <w:t>监视和测量设备（请简述主要监视和测量设备）：电子分析天平、全自动凯氏定氮仪、电热鼓风干燥箱、PH计、电导率仪、紫外可见分光光度计、电感耦合等离子体发射光谱仪、移液枪、火焰光度计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销售部、试验部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重点审核过程：外部供应产品和服务的控制、顾客满意；服务放行、不合格服务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实验室</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eastAsia="宋体"/>
                <w:sz w:val="21"/>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eastAsia="宋体"/>
                <w:sz w:val="21"/>
                <w:szCs w:val="21"/>
                <w:lang w:val="en-US" w:eastAsia="zh-CN"/>
              </w:rPr>
              <w:t>2020年09月10日</w:t>
            </w:r>
          </w:p>
          <w:p>
            <w:pPr>
              <w:rPr>
                <w:rFonts w:ascii="宋体"/>
                <w:b/>
                <w:color w:val="000000"/>
                <w:sz w:val="20"/>
                <w:szCs w:val="20"/>
              </w:rPr>
            </w:pPr>
            <w:r>
              <w:rPr>
                <w:rFonts w:hint="eastAsia"/>
                <w:szCs w:val="21"/>
              </w:rPr>
              <w:t>进行了内部审核。内部审核组组成：</w:t>
            </w:r>
            <w:r>
              <w:rPr>
                <w:rFonts w:hint="eastAsia" w:eastAsia="宋体"/>
                <w:sz w:val="21"/>
                <w:szCs w:val="21"/>
                <w:lang w:val="en-US" w:eastAsia="zh-CN"/>
              </w:rPr>
              <w:t>组长：陈科慧     组员：易小厅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210" w:firstLineChars="100"/>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7</w:t>
            </w:r>
            <w:r>
              <w:rPr>
                <w:rFonts w:hint="eastAsia" w:ascii="宋体" w:hAnsi="宋体"/>
                <w:kern w:val="0"/>
                <w:szCs w:val="21"/>
              </w:rPr>
              <w:t>月2</w:t>
            </w:r>
            <w:r>
              <w:rPr>
                <w:rFonts w:hint="eastAsia" w:ascii="宋体" w:hAnsi="宋体"/>
                <w:kern w:val="0"/>
                <w:szCs w:val="21"/>
                <w:lang w:val="en-US" w:eastAsia="zh-CN"/>
              </w:rPr>
              <w:t>8</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具备</w:t>
            </w:r>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0000FF"/>
                <w:sz w:val="16"/>
                <w:szCs w:val="16"/>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hint="eastAsia" w:ascii="宋体" w:hAnsi="宋体"/>
          <w:szCs w:val="21"/>
        </w:rPr>
        <w:t xml:space="preserve">土壤、植物、水质理化分析技术服务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rPr>
          <w:rFonts w:ascii="宋体"/>
          <w:b/>
          <w:bCs/>
          <w:color w:val="000000"/>
          <w:sz w:val="26"/>
          <w:szCs w:val="26"/>
        </w:rPr>
      </w:pPr>
      <w:bookmarkStart w:id="18" w:name="_GoBack"/>
      <w:bookmarkEnd w:id="18"/>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w:t>
      </w:r>
      <w:r>
        <w:rPr>
          <w:rFonts w:hint="eastAsia" w:eastAsia="隶书" w:cs="Times New Roman"/>
          <w:color w:val="000000"/>
          <w:sz w:val="28"/>
          <w:szCs w:val="28"/>
        </w:rPr>
        <w:t>方：成都栢晖生物科技有限公司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hint="eastAsia" w:ascii="宋体" w:eastAsia="宋体"/>
                <w:color w:val="000000"/>
                <w:sz w:val="24"/>
                <w:szCs w:val="24"/>
                <w:lang w:val="en-US" w:eastAsia="zh-CN"/>
              </w:rPr>
            </w:pPr>
          </w:p>
        </w:tc>
        <w:tc>
          <w:tcPr>
            <w:tcW w:w="5681" w:type="dxa"/>
          </w:tcPr>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rFonts w:hint="default" w:eastAsia="宋体"/>
                <w:color w:val="000000"/>
                <w:sz w:val="21"/>
                <w:szCs w:val="21"/>
                <w:lang w:val="en-US" w:eastAsia="zh-CN"/>
              </w:rPr>
            </w:pPr>
          </w:p>
        </w:tc>
        <w:tc>
          <w:tcPr>
            <w:tcW w:w="1811" w:type="dxa"/>
          </w:tcPr>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51FF"/>
    <w:multiLevelType w:val="singleLevel"/>
    <w:tmpl w:val="0A5E51FF"/>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3905027"/>
    <w:rsid w:val="1B7C5D4F"/>
    <w:rsid w:val="1CB91E8D"/>
    <w:rsid w:val="1E9E0F00"/>
    <w:rsid w:val="21912F89"/>
    <w:rsid w:val="288F5BFC"/>
    <w:rsid w:val="2AF40DDA"/>
    <w:rsid w:val="2AF555A2"/>
    <w:rsid w:val="37AF4BEA"/>
    <w:rsid w:val="3C335731"/>
    <w:rsid w:val="3D333694"/>
    <w:rsid w:val="3F2266C8"/>
    <w:rsid w:val="41CA360A"/>
    <w:rsid w:val="42317FF1"/>
    <w:rsid w:val="44153258"/>
    <w:rsid w:val="466C2CC9"/>
    <w:rsid w:val="46F219BF"/>
    <w:rsid w:val="49916B26"/>
    <w:rsid w:val="4AC10456"/>
    <w:rsid w:val="4DC951D7"/>
    <w:rsid w:val="4E7F1263"/>
    <w:rsid w:val="4F163653"/>
    <w:rsid w:val="533A3EED"/>
    <w:rsid w:val="53535CF4"/>
    <w:rsid w:val="5C1C5C3E"/>
    <w:rsid w:val="5CC237FA"/>
    <w:rsid w:val="5D7A00A7"/>
    <w:rsid w:val="5DEE6D1B"/>
    <w:rsid w:val="5F8D3C9B"/>
    <w:rsid w:val="5FE6444C"/>
    <w:rsid w:val="62D838CB"/>
    <w:rsid w:val="640B1E0C"/>
    <w:rsid w:val="647F5BA5"/>
    <w:rsid w:val="656206D1"/>
    <w:rsid w:val="667978D5"/>
    <w:rsid w:val="6AF45348"/>
    <w:rsid w:val="6BBB1423"/>
    <w:rsid w:val="6BF216D2"/>
    <w:rsid w:val="6C3949E6"/>
    <w:rsid w:val="6C4E4063"/>
    <w:rsid w:val="6C8B60DE"/>
    <w:rsid w:val="6CB121D3"/>
    <w:rsid w:val="701F7C21"/>
    <w:rsid w:val="7165663F"/>
    <w:rsid w:val="74E06A6A"/>
    <w:rsid w:val="76530D66"/>
    <w:rsid w:val="768934B1"/>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2">
    <w:name w:val="页脚 Char"/>
    <w:basedOn w:val="9"/>
    <w:link w:val="4"/>
    <w:qFormat/>
    <w:locked/>
    <w:uiPriority w:val="99"/>
    <w:rPr>
      <w:rFonts w:ascii="Times New Roman" w:hAnsi="Times New Roman" w:eastAsia="宋体" w:cs="Times New Roman"/>
      <w:sz w:val="18"/>
      <w:szCs w:val="18"/>
    </w:rPr>
  </w:style>
  <w:style w:type="character" w:customStyle="1" w:styleId="13">
    <w:name w:val="页眉 Char"/>
    <w:basedOn w:val="9"/>
    <w:link w:val="5"/>
    <w:qFormat/>
    <w:locked/>
    <w:uiPriority w:val="99"/>
    <w:rPr>
      <w:rFonts w:ascii="Calibri" w:hAnsi="Calibri" w:eastAsia="宋体" w:cs="Times New Roman"/>
      <w:sz w:val="18"/>
      <w:szCs w:val="18"/>
    </w:rPr>
  </w:style>
  <w:style w:type="character" w:customStyle="1" w:styleId="14">
    <w:name w:val="副标题 Char"/>
    <w:basedOn w:val="9"/>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1</TotalTime>
  <ScaleCrop>false</ScaleCrop>
  <LinksUpToDate>false</LinksUpToDate>
  <CharactersWithSpaces>8175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2020-11-17T08:38:05Z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