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Lines="30"/>
        <w:jc w:val="center"/>
        <w:rPr>
          <w:rFonts w:ascii="楷体" w:hAnsi="楷体" w:eastAsia="楷体"/>
          <w:b/>
          <w:color w:val="000000" w:themeColor="text1"/>
          <w:sz w:val="84"/>
          <w:szCs w:val="84"/>
        </w:rPr>
      </w:pPr>
    </w:p>
    <w:p>
      <w:pPr>
        <w:snapToGrid w:val="0"/>
        <w:spacing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cstate="print"/>
                    <a:stretch>
                      <a:fillRect/>
                    </a:stretch>
                  </pic:blipFill>
                  <pic:spPr>
                    <a:xfrm>
                      <a:off x="0" y="0"/>
                      <a:ext cx="1887913" cy="1887913"/>
                    </a:xfrm>
                    <a:prstGeom prst="rect">
                      <a:avLst/>
                    </a:prstGeom>
                  </pic:spPr>
                </pic:pic>
              </a:graphicData>
            </a:graphic>
          </wp:inline>
        </w:drawing>
      </w:r>
    </w:p>
    <w:p>
      <w:pPr>
        <w:snapToGrid w:val="0"/>
        <w:spacing w:afterLines="30"/>
        <w:jc w:val="center"/>
        <w:rPr>
          <w:rFonts w:ascii="楷体" w:hAnsi="楷体" w:eastAsia="楷体"/>
          <w:b/>
          <w:color w:val="000000" w:themeColor="text1"/>
          <w:sz w:val="52"/>
          <w:szCs w:val="52"/>
        </w:rPr>
      </w:pPr>
    </w:p>
    <w:p>
      <w:pPr>
        <w:snapToGrid w:val="0"/>
        <w:spacing w:afterLines="30"/>
        <w:jc w:val="center"/>
        <w:rPr>
          <w:rFonts w:ascii="楷体" w:hAnsi="楷体" w:eastAsia="楷体"/>
          <w:b/>
          <w:color w:val="000000" w:themeColor="text1"/>
          <w:sz w:val="52"/>
          <w:szCs w:val="52"/>
        </w:rPr>
      </w:pPr>
    </w:p>
    <w:p>
      <w:pPr>
        <w:snapToGrid w:val="0"/>
        <w:spacing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Lines="30"/>
        <w:jc w:val="center"/>
        <w:rPr>
          <w:rFonts w:ascii="楷体" w:hAnsi="楷体" w:eastAsia="楷体"/>
          <w:b/>
          <w:color w:val="000000" w:themeColor="text1"/>
          <w:sz w:val="36"/>
          <w:szCs w:val="36"/>
        </w:rPr>
      </w:pPr>
    </w:p>
    <w:p>
      <w:pPr>
        <w:snapToGrid w:val="0"/>
        <w:spacing w:afterLines="30"/>
        <w:jc w:val="center"/>
        <w:rPr>
          <w:rFonts w:ascii="楷体" w:hAnsi="楷体" w:eastAsia="楷体"/>
          <w:b/>
          <w:color w:val="000000" w:themeColor="text1"/>
          <w:sz w:val="36"/>
          <w:szCs w:val="36"/>
        </w:rPr>
      </w:pPr>
    </w:p>
    <w:p>
      <w:pPr>
        <w:snapToGrid w:val="0"/>
        <w:spacing w:afterLines="30"/>
        <w:jc w:val="center"/>
        <w:rPr>
          <w:rFonts w:ascii="楷体" w:hAnsi="楷体" w:eastAsia="楷体"/>
          <w:b/>
          <w:color w:val="000000" w:themeColor="text1"/>
          <w:sz w:val="32"/>
          <w:szCs w:val="32"/>
        </w:rPr>
      </w:pPr>
    </w:p>
    <w:p>
      <w:pPr>
        <w:snapToGrid w:val="0"/>
        <w:spacing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重庆荣淇金属制品有限公司</w:t>
      </w:r>
      <w:bookmarkEnd w:id="0"/>
    </w:p>
    <w:p>
      <w:pPr>
        <w:snapToGrid w:val="0"/>
        <w:spacing w:afterLines="30"/>
        <w:ind w:firstLine="1928" w:firstLineChars="600"/>
        <w:rPr>
          <w:rFonts w:ascii="楷体" w:hAnsi="楷体" w:eastAsia="楷体"/>
          <w:b/>
          <w:color w:val="000000" w:themeColor="text1"/>
          <w:sz w:val="32"/>
          <w:szCs w:val="32"/>
        </w:rPr>
      </w:pPr>
    </w:p>
    <w:p>
      <w:pPr>
        <w:snapToGrid w:val="0"/>
        <w:spacing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Lines="30"/>
        <w:ind w:firstLine="957" w:firstLineChars="298"/>
        <w:rPr>
          <w:rFonts w:ascii="楷体" w:hAnsi="楷体" w:eastAsia="楷体"/>
          <w:b/>
          <w:color w:val="000000" w:themeColor="text1"/>
          <w:sz w:val="32"/>
          <w:szCs w:val="32"/>
        </w:rPr>
      </w:pPr>
      <w:bookmarkStart w:id="1" w:name="Q勾选"/>
      <w:r>
        <w:rPr>
          <w:rFonts w:hint="eastAsia" w:ascii="楷体" w:hAnsi="楷体" w:eastAsia="楷体"/>
          <w:b/>
          <w:color w:val="000000" w:themeColor="text1"/>
          <w:sz w:val="32"/>
          <w:szCs w:val="32"/>
        </w:rPr>
        <w:t>■</w:t>
      </w:r>
      <w:bookmarkEnd w:id="1"/>
      <w:r>
        <w:rPr>
          <w:rFonts w:hint="eastAsia" w:ascii="楷体" w:hAnsi="楷体" w:eastAsia="楷体"/>
          <w:b/>
          <w:color w:val="000000" w:themeColor="text1"/>
          <w:sz w:val="32"/>
          <w:szCs w:val="32"/>
        </w:rPr>
        <w:t>质量管理体系（QMS）</w:t>
      </w:r>
    </w:p>
    <w:p>
      <w:pPr>
        <w:snapToGrid w:val="0"/>
        <w:spacing w:afterLines="30"/>
        <w:ind w:firstLine="957" w:firstLineChars="298"/>
        <w:rPr>
          <w:rFonts w:ascii="楷体" w:hAnsi="楷体" w:eastAsia="楷体"/>
          <w:b/>
          <w:color w:val="000000" w:themeColor="text1"/>
          <w:sz w:val="32"/>
          <w:szCs w:val="32"/>
        </w:rPr>
      </w:pPr>
      <w:bookmarkStart w:id="2" w:name="E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环境管理体系（EMS）</w:t>
      </w:r>
    </w:p>
    <w:p>
      <w:pPr>
        <w:snapToGrid w:val="0"/>
        <w:spacing w:afterLines="30"/>
        <w:ind w:firstLine="957" w:firstLineChars="298"/>
        <w:rPr>
          <w:rFonts w:ascii="楷体" w:hAnsi="楷体" w:eastAsia="楷体"/>
          <w:b/>
          <w:color w:val="000000" w:themeColor="text1"/>
          <w:sz w:val="32"/>
          <w:szCs w:val="32"/>
        </w:rPr>
      </w:pPr>
      <w:bookmarkStart w:id="3" w:name="S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职业健康安全管理体系（OHSMS）</w:t>
      </w:r>
    </w:p>
    <w:p>
      <w:pPr>
        <w:snapToGrid w:val="0"/>
        <w:spacing w:afterLines="30"/>
        <w:jc w:val="center"/>
        <w:rPr>
          <w:rFonts w:ascii="楷体" w:hAnsi="楷体" w:eastAsia="楷体"/>
          <w:b/>
          <w:color w:val="000000" w:themeColor="text1"/>
          <w:sz w:val="84"/>
          <w:szCs w:val="84"/>
        </w:rPr>
      </w:pPr>
    </w:p>
    <w:p>
      <w:pPr>
        <w:snapToGrid w:val="0"/>
        <w:spacing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0"/>
          <w:rFonts w:hint="eastAsia" w:ascii="楷体" w:hAnsi="楷体" w:eastAsia="楷体"/>
          <w:b/>
          <w:sz w:val="36"/>
          <w:szCs w:val="36"/>
        </w:rPr>
        <w:t>www.china-isc.org.cn</w:t>
      </w:r>
      <w:r>
        <w:rPr>
          <w:rStyle w:val="10"/>
          <w:rFonts w:hint="eastAsia" w:ascii="楷体" w:hAnsi="楷体" w:eastAsia="楷体"/>
          <w:b/>
          <w:sz w:val="36"/>
          <w:szCs w:val="36"/>
        </w:rPr>
        <w:fldChar w:fldCharType="end"/>
      </w:r>
    </w:p>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7"/>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张心</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14.02.01,17.02.00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冉景洲</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sym w:font="Wingdings 2" w:char="0052"/>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hint="eastAsia" w:ascii="宋体" w:hAnsi="宋体"/>
          <w:b/>
          <w:color w:val="000000" w:themeColor="text1"/>
          <w:spacing w:val="-10"/>
          <w:sz w:val="20"/>
          <w:szCs w:val="20"/>
        </w:rPr>
      </w:pPr>
      <w:bookmarkStart w:id="4" w:name="审核依据"/>
      <w:r>
        <w:rPr>
          <w:rFonts w:hint="eastAsia" w:ascii="宋体" w:hAnsi="宋体"/>
          <w:b/>
          <w:color w:val="000000" w:themeColor="text1"/>
          <w:spacing w:val="-10"/>
          <w:sz w:val="20"/>
          <w:szCs w:val="20"/>
        </w:rPr>
        <w:t>GB/T19001-2016/ISO9001:2015</w:t>
      </w:r>
      <w:bookmarkEnd w:id="4"/>
    </w:p>
    <w:p>
      <w:pPr>
        <w:jc w:val="left"/>
        <w:rPr>
          <w:rFonts w:ascii="宋体" w:hAnsi="宋体"/>
          <w:b/>
          <w:color w:val="000000" w:themeColor="text1"/>
          <w:spacing w:val="-10"/>
          <w:sz w:val="20"/>
          <w:szCs w:val="20"/>
        </w:rPr>
      </w:pPr>
      <w:r>
        <w:rPr>
          <w:rFonts w:hint="eastAsia" w:ascii="宋体" w:hAnsi="宋体"/>
          <w:b/>
          <w:color w:val="000000" w:themeColor="text1"/>
          <w:sz w:val="26"/>
          <w:szCs w:val="26"/>
        </w:rPr>
        <w:t>四、受审核方基本信息</w:t>
      </w:r>
    </w:p>
    <w:tbl>
      <w:tblPr>
        <w:tblStyle w:val="7"/>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重庆荣淇金属制品有限公司</w:t>
            </w:r>
            <w:bookmarkEnd w:id="5"/>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25</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rPr>
                <w:rFonts w:ascii="宋体" w:hAnsi="宋体"/>
                <w:b/>
                <w:color w:val="000000" w:themeColor="text1"/>
                <w:sz w:val="20"/>
                <w:szCs w:val="20"/>
              </w:rPr>
            </w:pPr>
            <w:bookmarkStart w:id="7" w:name="注册地址"/>
            <w:r>
              <w:rPr>
                <w:rFonts w:ascii="宋体" w:hAnsi="宋体"/>
                <w:b/>
                <w:color w:val="000000" w:themeColor="text1"/>
                <w:sz w:val="20"/>
                <w:szCs w:val="20"/>
              </w:rPr>
              <w:t>重庆市江津区德感街道平溪路11号(优盾焊接材料公司1号厂房1层1、2号)</w:t>
            </w:r>
            <w:bookmarkEnd w:id="7"/>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400000</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重庆市江津区德感街道平溪路11号(优盾焊接材料公司1号厂房1层1、2号)</w:t>
            </w:r>
            <w:bookmarkEnd w:id="9"/>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400000</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蒋淇宣</w:t>
            </w:r>
            <w:bookmarkEnd w:id="11"/>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13983180242</w:t>
            </w:r>
            <w:bookmarkEnd w:id="12"/>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3" w:name="联系人传真"/>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彭秀兰</w:t>
            </w:r>
            <w:bookmarkEnd w:id="14"/>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蒋淇宣</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声测管的生产</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14.02.01;17.02.00</w:t>
            </w:r>
            <w:bookmarkEnd w:id="18"/>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 xml:space="preserve">□是    </w:t>
            </w:r>
            <w:r>
              <w:rPr>
                <w:rFonts w:hint="eastAsia" w:ascii="宋体" w:hAnsi="宋体"/>
                <w:b/>
                <w:color w:val="000000" w:themeColor="text1"/>
                <w:sz w:val="20"/>
                <w:szCs w:val="20"/>
              </w:rPr>
              <w:sym w:font="Wingdings 2" w:char="0052"/>
            </w:r>
            <w:r>
              <w:rPr>
                <w:rFonts w:hint="eastAsia" w:ascii="宋体" w:hAnsi="宋体"/>
                <w:b/>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2020-06-01 0:00:00</w:t>
            </w:r>
            <w:bookmarkEnd w:id="19"/>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r>
              <w:rPr>
                <w:rFonts w:hint="eastAsia" w:ascii="宋体" w:hAnsi="宋体"/>
                <w:b/>
                <w:color w:val="000000" w:themeColor="text1"/>
                <w:sz w:val="20"/>
                <w:szCs w:val="20"/>
              </w:rPr>
              <w:t>行政部</w:t>
            </w:r>
          </w:p>
        </w:tc>
        <w:tc>
          <w:tcPr>
            <w:tcW w:w="6804" w:type="dxa"/>
          </w:tcPr>
          <w:p>
            <w:pPr>
              <w:jc w:val="left"/>
              <w:rPr>
                <w:rFonts w:ascii="宋体" w:hAnsi="宋体"/>
                <w:b/>
                <w:color w:val="000000" w:themeColor="text1"/>
                <w:spacing w:val="-20"/>
                <w:sz w:val="20"/>
                <w:szCs w:val="20"/>
                <w:u w:val="single"/>
              </w:rPr>
            </w:pPr>
            <w:r>
              <w:rPr>
                <w:rFonts w:hint="eastAsia" w:ascii="宋体" w:hAnsi="宋体"/>
                <w:b/>
                <w:color w:val="000000" w:themeColor="text1"/>
                <w:sz w:val="20"/>
                <w:szCs w:val="20"/>
              </w:rPr>
              <w:t>方针、目标管理；文件、记录控制程；管理评审；内审管理；人员、部门职能职责和权限；风险识别评价管理；合同管理；采购管理；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r>
              <w:rPr>
                <w:rFonts w:hint="eastAsia" w:ascii="宋体" w:hAnsi="宋体"/>
                <w:b/>
                <w:color w:val="000000" w:themeColor="text1"/>
                <w:sz w:val="20"/>
                <w:szCs w:val="20"/>
              </w:rPr>
              <w:t>生产部、技质部</w:t>
            </w:r>
          </w:p>
        </w:tc>
        <w:tc>
          <w:tcPr>
            <w:tcW w:w="6804" w:type="dxa"/>
          </w:tcPr>
          <w:p>
            <w:pPr>
              <w:jc w:val="left"/>
              <w:rPr>
                <w:rFonts w:ascii="宋体" w:hAnsi="宋体"/>
                <w:b/>
                <w:color w:val="000000" w:themeColor="text1"/>
                <w:spacing w:val="-20"/>
                <w:sz w:val="20"/>
                <w:szCs w:val="20"/>
                <w:u w:val="single"/>
              </w:rPr>
            </w:pPr>
            <w:r>
              <w:rPr>
                <w:rFonts w:hint="eastAsia" w:ascii="宋体" w:hAnsi="宋体"/>
                <w:b/>
                <w:color w:val="000000" w:themeColor="text1"/>
                <w:sz w:val="20"/>
                <w:szCs w:val="20"/>
              </w:rPr>
              <w:t>不合格品控制；纠正和预防措施控制；策划管理；过程监控管理；产品验收管理；监视和测量设备管理；服务过程管理；设备设施管理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r>
              <w:rPr>
                <w:rFonts w:hint="eastAsia" w:ascii="宋体" w:hAnsi="宋体"/>
                <w:b/>
                <w:color w:val="000000" w:themeColor="text1"/>
                <w:sz w:val="20"/>
                <w:szCs w:val="20"/>
              </w:rPr>
              <w:t>供销部</w:t>
            </w:r>
          </w:p>
        </w:tc>
        <w:tc>
          <w:tcPr>
            <w:tcW w:w="6804" w:type="dxa"/>
          </w:tcPr>
          <w:p>
            <w:pPr>
              <w:jc w:val="left"/>
              <w:rPr>
                <w:rFonts w:ascii="宋体" w:hAnsi="宋体"/>
                <w:b/>
                <w:color w:val="000000" w:themeColor="text1"/>
                <w:spacing w:val="-20"/>
                <w:sz w:val="20"/>
                <w:szCs w:val="20"/>
                <w:u w:val="single"/>
              </w:rPr>
            </w:pPr>
            <w:r>
              <w:rPr>
                <w:rFonts w:hint="eastAsia" w:ascii="宋体" w:hAnsi="宋体"/>
                <w:b/>
                <w:color w:val="000000" w:themeColor="text1"/>
                <w:sz w:val="20"/>
                <w:szCs w:val="20"/>
              </w:rPr>
              <w:t>合同管理；采购管理；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6804"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rPr>
                <w:rFonts w:ascii="宋体" w:hAnsi="宋体"/>
                <w:b/>
                <w:color w:val="000000" w:themeColor="text1"/>
                <w:szCs w:val="21"/>
              </w:rPr>
            </w:pPr>
          </w:p>
        </w:tc>
        <w:tc>
          <w:tcPr>
            <w:tcW w:w="6804" w:type="dxa"/>
          </w:tcPr>
          <w:p>
            <w:pPr>
              <w:rPr>
                <w:rFonts w:ascii="宋体" w:hAnsi="宋体"/>
                <w:b/>
                <w:color w:val="000000" w:themeColor="text1"/>
                <w:spacing w:val="-20"/>
                <w:szCs w:val="21"/>
                <w:u w:val="single"/>
              </w:rPr>
            </w:pP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8"/>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84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2519"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843" w:type="dxa"/>
          </w:tcPr>
          <w:p>
            <w:pPr>
              <w:rPr>
                <w:b/>
                <w:color w:val="000000" w:themeColor="text1"/>
                <w:sz w:val="20"/>
                <w:szCs w:val="20"/>
              </w:rPr>
            </w:pPr>
            <w:r>
              <w:rPr>
                <w:rFonts w:hint="eastAsia"/>
                <w:b/>
                <w:color w:val="000000" w:themeColor="text1"/>
                <w:sz w:val="20"/>
                <w:szCs w:val="20"/>
              </w:rPr>
              <w:t>规格</w:t>
            </w:r>
          </w:p>
        </w:tc>
        <w:tc>
          <w:tcPr>
            <w:tcW w:w="3543"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ascii="宋体" w:hAnsi="宋体"/>
                <w:b/>
                <w:color w:val="000000" w:themeColor="text1"/>
                <w:sz w:val="20"/>
                <w:szCs w:val="20"/>
              </w:rPr>
              <w:t>声测管的生产</w:t>
            </w: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r>
              <w:rPr>
                <w:rFonts w:hint="eastAsia" w:ascii="宋体" w:hAnsi="宋体"/>
                <w:szCs w:val="21"/>
              </w:rPr>
              <w:t>《混泥土灌注桩用钢薄壁声测管》</w:t>
            </w:r>
            <w:r>
              <w:rPr>
                <w:rFonts w:hint="eastAsia" w:ascii="宋体" w:hAnsi="宋体"/>
                <w:color w:val="000000" w:themeColor="text1"/>
                <w:szCs w:val="21"/>
              </w:rPr>
              <w:t>GB/T31438-2015、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■体系运行开始的</w:t>
      </w:r>
      <w:r>
        <w:rPr>
          <w:rFonts w:hint="eastAsia"/>
          <w:b/>
          <w:color w:val="000000" w:themeColor="text1"/>
          <w:spacing w:val="-10"/>
          <w:szCs w:val="21"/>
          <w:u w:val="single"/>
        </w:rPr>
        <w:t>2020年6月</w:t>
      </w:r>
      <w:bookmarkStart w:id="20" w:name="OLE_LINK1"/>
      <w:r>
        <w:rPr>
          <w:rFonts w:hint="eastAsia"/>
          <w:b/>
          <w:color w:val="000000" w:themeColor="text1"/>
          <w:spacing w:val="-10"/>
          <w:szCs w:val="21"/>
          <w:u w:val="single"/>
        </w:rPr>
        <w:t>1日</w:t>
      </w:r>
      <w:bookmarkEnd w:id="20"/>
      <w:r>
        <w:rPr>
          <w:rFonts w:hint="eastAsia"/>
          <w:b/>
          <w:color w:val="000000" w:themeColor="text1"/>
          <w:spacing w:val="-10"/>
          <w:szCs w:val="21"/>
        </w:rPr>
        <w:t>至</w:t>
      </w:r>
      <w:r>
        <w:rPr>
          <w:rFonts w:hint="eastAsia"/>
          <w:b/>
          <w:color w:val="000000" w:themeColor="text1"/>
          <w:spacing w:val="-10"/>
          <w:szCs w:val="21"/>
          <w:u w:val="single"/>
        </w:rPr>
        <w:t>2020年11月1</w:t>
      </w:r>
      <w:r>
        <w:rPr>
          <w:rFonts w:hint="eastAsia"/>
          <w:b/>
          <w:color w:val="000000" w:themeColor="text1"/>
          <w:spacing w:val="-10"/>
          <w:szCs w:val="21"/>
          <w:u w:val="single"/>
          <w:lang w:val="en-US" w:eastAsia="zh-CN"/>
        </w:rPr>
        <w:t>5</w:t>
      </w:r>
      <w:r>
        <w:rPr>
          <w:rFonts w:hint="eastAsia"/>
          <w:b/>
          <w:color w:val="000000" w:themeColor="text1"/>
          <w:spacing w:val="-10"/>
          <w:szCs w:val="21"/>
          <w:u w:val="single"/>
        </w:rPr>
        <w:t>日</w:t>
      </w:r>
      <w:r>
        <w:rPr>
          <w:rFonts w:hint="eastAsia"/>
          <w:b/>
          <w:color w:val="000000" w:themeColor="text1"/>
          <w:spacing w:val="-10"/>
          <w:szCs w:val="21"/>
        </w:rPr>
        <w:t>。</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37" w:leftChars="-337" w:hanging="571" w:hangingChars="271"/>
        <w:rPr>
          <w:b/>
          <w:color w:val="000000" w:themeColor="text1"/>
          <w:spacing w:val="-10"/>
          <w:szCs w:val="21"/>
        </w:rPr>
      </w:pP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7"/>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spacing w:line="240" w:lineRule="exact"/>
              <w:ind w:firstLine="420" w:firstLineChars="200"/>
              <w:rPr>
                <w:b/>
                <w:color w:val="000000" w:themeColor="text1"/>
                <w:sz w:val="20"/>
                <w:szCs w:val="20"/>
              </w:rPr>
            </w:pPr>
            <w:r>
              <w:rPr>
                <w:rFonts w:hint="eastAsia" w:ascii="宋体" w:hAnsi="宋体"/>
                <w:color w:val="000000" w:themeColor="text1"/>
              </w:rPr>
              <w:t>组织对内外部因素、相关方需求和期望进行了充分的识别，策划和实施有效。组织确定了体系的边界，基本适用。管理体系8.3条款不适用</w:t>
            </w:r>
            <w:r>
              <w:rPr>
                <w:rFonts w:hint="eastAsia" w:ascii="华文楷体" w:hAnsi="华文楷体" w:eastAsia="华文楷体"/>
                <w:bCs/>
                <w:i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sz w:val="20"/>
                <w:szCs w:val="20"/>
              </w:rPr>
            </w:pPr>
            <w:r>
              <w:rPr>
                <w:b/>
                <w:color w:val="000000" w:themeColor="text1"/>
                <w:sz w:val="20"/>
                <w:szCs w:val="20"/>
              </w:rPr>
              <w:t>2、</w:t>
            </w:r>
            <w:r>
              <w:rPr>
                <w:rFonts w:hint="eastAsia"/>
                <w:b/>
                <w:color w:val="000000" w:themeColor="text1"/>
                <w:sz w:val="20"/>
                <w:szCs w:val="20"/>
              </w:rPr>
              <w:t>相关方需求和期望识别情况</w:t>
            </w:r>
          </w:p>
          <w:p>
            <w:pPr>
              <w:spacing w:line="240" w:lineRule="exact"/>
              <w:ind w:firstLine="420" w:firstLineChars="200"/>
              <w:rPr>
                <w:b/>
                <w:color w:val="000000" w:themeColor="text1"/>
                <w:sz w:val="20"/>
                <w:szCs w:val="20"/>
              </w:rPr>
            </w:pPr>
            <w:r>
              <w:rPr>
                <w:rFonts w:hint="eastAsia" w:ascii="宋体" w:hAnsi="宋体" w:cs="宋体"/>
                <w:color w:val="000000"/>
                <w:szCs w:val="21"/>
              </w:rPr>
              <w:t>公司确定的相关方有员工、股东、银行、主管部门、供应商、客户等。理解员工诉求的形式为面谈、会议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4"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360" w:lineRule="auto"/>
              <w:ind w:firstLine="402" w:firstLineChars="200"/>
              <w:rPr>
                <w:b/>
                <w:color w:val="000000" w:themeColor="text1"/>
              </w:rPr>
            </w:pPr>
            <w:r>
              <w:rPr>
                <w:b/>
                <w:color w:val="000000" w:themeColor="text1"/>
                <w:sz w:val="20"/>
                <w:szCs w:val="20"/>
              </w:rPr>
              <w:t>3.</w:t>
            </w:r>
            <w:r>
              <w:rPr>
                <w:rFonts w:hint="eastAsia" w:ascii="宋体" w:hAnsi="宋体"/>
              </w:rPr>
              <w:t xml:space="preserve">■ </w:t>
            </w:r>
            <w:r>
              <w:rPr>
                <w:rFonts w:hint="eastAsia" w:ascii="宋体" w:hAnsi="宋体"/>
                <w:b/>
                <w:color w:val="000000" w:themeColor="text1"/>
                <w:sz w:val="20"/>
                <w:szCs w:val="20"/>
              </w:rPr>
              <w:t>质量/</w:t>
            </w:r>
            <w:r>
              <w:rPr>
                <w:rFonts w:hint="eastAsia" w:ascii="宋体" w:hAnsi="宋体"/>
              </w:rPr>
              <w:t xml:space="preserve">□ </w:t>
            </w:r>
            <w:r>
              <w:rPr>
                <w:rFonts w:hint="eastAsia" w:ascii="宋体" w:hAnsi="宋体"/>
                <w:b/>
                <w:color w:val="000000" w:themeColor="text1"/>
                <w:sz w:val="20"/>
                <w:szCs w:val="20"/>
              </w:rPr>
              <w:t>环境/</w:t>
            </w:r>
            <w:r>
              <w:rPr>
                <w:rFonts w:hint="eastAsia" w:ascii="宋体" w:hAnsi="宋体"/>
              </w:rPr>
              <w:t xml:space="preserve">□ </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r>
              <w:rPr>
                <w:rFonts w:hint="eastAsia" w:ascii="宋体" w:hAnsi="宋体"/>
                <w:color w:val="000000" w:themeColor="text1"/>
              </w:rPr>
              <w:t>最高管理者组织制定了方针：现行的管理方针在管理手册有专门的释议，具备适宜性。通过会议、张贴等方式进行传达宣贯，管理绩效表明其方针能够通过管理体系加以有效实施、实现及动态管理，实际未发生变更。管理方针：</w:t>
            </w:r>
            <w:r>
              <w:rPr>
                <w:rFonts w:hint="eastAsia"/>
                <w:szCs w:val="21"/>
              </w:rPr>
              <w:t>质量为本、信誉至上，持续改进，争创一流，满足要求</w:t>
            </w:r>
            <w:r>
              <w:rPr>
                <w:rFonts w:hint="eastAsia" w:ascii="宋体" w:hAnsi="宋体"/>
                <w:color w:val="000000" w:themeColor="text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rPr>
            </w:pPr>
            <w:r>
              <w:rPr>
                <w:b/>
                <w:color w:val="000000" w:themeColor="text1"/>
              </w:rPr>
              <w:t>4、</w:t>
            </w:r>
            <w:r>
              <w:rPr>
                <w:rFonts w:hint="eastAsia"/>
                <w:b/>
                <w:color w:val="000000" w:themeColor="text1"/>
              </w:rPr>
              <w:t>风险识别与控制策划（QMS）</w:t>
            </w:r>
          </w:p>
          <w:p>
            <w:pPr>
              <w:spacing w:line="240" w:lineRule="exact"/>
              <w:ind w:firstLine="210" w:firstLineChars="100"/>
              <w:rPr>
                <w:rFonts w:ascii="宋体" w:hAnsi="宋体"/>
                <w:color w:val="000000" w:themeColor="text1"/>
              </w:rPr>
            </w:pPr>
            <w:r>
              <w:rPr>
                <w:rFonts w:hint="eastAsia" w:ascii="宋体" w:hAnsi="宋体"/>
                <w:color w:val="000000" w:themeColor="text1"/>
              </w:rPr>
              <w:t>制定并实施了相关程序和安全生产管理制度，服务过程包括策划、准备、实施、支持服务等。这些过程的主要活动、顺序或相互关系、相关管理作业指导书的规定基本适宜、充分、有效、详细，相关过程的策划良好，实施有序，控制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widowControl/>
              <w:spacing w:line="400" w:lineRule="exact"/>
              <w:rPr>
                <w:rFonts w:ascii="宋体" w:hAnsi="宋体"/>
                <w:szCs w:val="21"/>
              </w:rPr>
            </w:pPr>
            <w:r>
              <w:rPr>
                <w:rFonts w:hint="eastAsia" w:ascii="宋体" w:hAnsi="宋体"/>
                <w:szCs w:val="21"/>
              </w:rPr>
              <w:t>5.QMS过程</w:t>
            </w:r>
          </w:p>
          <w:p>
            <w:pPr>
              <w:widowControl/>
              <w:spacing w:line="400" w:lineRule="exact"/>
              <w:rPr>
                <w:rFonts w:ascii="宋体" w:hAnsi="宋体"/>
                <w:color w:val="000000" w:themeColor="text1"/>
                <w:szCs w:val="21"/>
              </w:rPr>
            </w:pPr>
            <w:r>
              <w:rPr>
                <w:rFonts w:hint="eastAsia" w:ascii="宋体" w:hAnsi="宋体"/>
                <w:szCs w:val="21"/>
              </w:rPr>
              <w:t>质量管理体系</w:t>
            </w:r>
            <w:r>
              <w:rPr>
                <w:rFonts w:hint="eastAsia" w:ascii="宋体" w:hAnsi="宋体"/>
                <w:color w:val="000000" w:themeColor="text1"/>
                <w:szCs w:val="21"/>
              </w:rPr>
              <w:t>过程有：</w:t>
            </w:r>
          </w:p>
          <w:p>
            <w:pPr>
              <w:spacing w:line="360" w:lineRule="auto"/>
              <w:rPr>
                <w:rFonts w:ascii="宋体" w:hAnsi="宋体"/>
                <w:szCs w:val="22"/>
              </w:rPr>
            </w:pPr>
            <w:r>
              <w:rPr>
                <w:rFonts w:hint="eastAsia" w:ascii="宋体" w:hAnsi="宋体"/>
                <w:szCs w:val="22"/>
              </w:rPr>
              <w:t>声测管：</w:t>
            </w:r>
            <w:r>
              <w:rPr>
                <w:rFonts w:hint="eastAsia" w:ascii="宋体" w:hAnsi="宋体"/>
                <w:szCs w:val="22"/>
                <w:lang w:eastAsia="zh-CN"/>
              </w:rPr>
              <w:t>焊管</w:t>
            </w:r>
            <w:bookmarkStart w:id="22" w:name="_GoBack"/>
            <w:bookmarkEnd w:id="22"/>
            <w:r>
              <w:rPr>
                <w:rFonts w:hint="eastAsia" w:ascii="宋体" w:hAnsi="宋体"/>
                <w:szCs w:val="22"/>
              </w:rPr>
              <w:t>——下料——焊接——组装接头——检验——入库</w:t>
            </w:r>
          </w:p>
          <w:p>
            <w:pPr>
              <w:widowControl/>
              <w:spacing w:line="400" w:lineRule="exact"/>
              <w:rPr>
                <w:rFonts w:ascii="宋体" w:hAnsi="宋体"/>
                <w:szCs w:val="21"/>
              </w:rPr>
            </w:pPr>
            <w:r>
              <w:rPr>
                <w:rFonts w:hint="eastAsia" w:ascii="宋体" w:hAnsi="宋体"/>
                <w:szCs w:val="21"/>
              </w:rPr>
              <w:t>关键过程：</w:t>
            </w:r>
            <w:r>
              <w:rPr>
                <w:rFonts w:hint="eastAsia"/>
              </w:rPr>
              <w:t>焊接</w:t>
            </w:r>
            <w:r>
              <w:rPr>
                <w:rFonts w:hint="eastAsia" w:ascii="宋体" w:hAnsi="宋体"/>
                <w:szCs w:val="21"/>
              </w:rPr>
              <w:t>。</w:t>
            </w:r>
          </w:p>
          <w:p>
            <w:pPr>
              <w:widowControl/>
              <w:spacing w:line="400" w:lineRule="exact"/>
              <w:rPr>
                <w:rFonts w:ascii="宋体" w:hAnsi="宋体"/>
                <w:szCs w:val="21"/>
              </w:rPr>
            </w:pPr>
            <w:r>
              <w:rPr>
                <w:rFonts w:hint="eastAsia" w:ascii="宋体" w:hAnsi="宋体"/>
                <w:szCs w:val="21"/>
              </w:rPr>
              <w:t>需确认/特殊过程：焊接过程</w:t>
            </w:r>
          </w:p>
          <w:p>
            <w:pPr>
              <w:widowControl/>
              <w:spacing w:line="400" w:lineRule="exact"/>
              <w:rPr>
                <w:rFonts w:ascii="宋体" w:hAnsi="宋体"/>
                <w:szCs w:val="21"/>
              </w:rPr>
            </w:pPr>
            <w:r>
              <w:rPr>
                <w:rFonts w:hint="eastAsia" w:ascii="宋体" w:hAnsi="宋体"/>
                <w:szCs w:val="21"/>
              </w:rPr>
              <w:t>外包过程：无</w:t>
            </w:r>
          </w:p>
          <w:p>
            <w:pPr>
              <w:spacing w:line="240" w:lineRule="exact"/>
              <w:ind w:firstLine="210" w:firstLineChars="100"/>
              <w:rPr>
                <w:rFonts w:ascii="宋体" w:hAnsi="宋体"/>
                <w:szCs w:val="21"/>
              </w:rPr>
            </w:pPr>
            <w:r>
              <w:rPr>
                <w:rFonts w:hint="eastAsia" w:ascii="宋体" w:hAnsi="宋体"/>
                <w:color w:val="000000" w:themeColor="text1"/>
              </w:rPr>
              <w:t>8.3不适用，</w:t>
            </w:r>
            <w:r>
              <w:rPr>
                <w:rFonts w:hint="eastAsia" w:ascii="宋体" w:hAnsi="宋体" w:cs="宋体"/>
              </w:rPr>
              <w:t>公司产品均按国家、行业相关标准、规范进行生产，生产工艺成熟</w:t>
            </w:r>
            <w:r>
              <w:rPr>
                <w:rFonts w:hint="eastAsia" w:ascii="宋体" w:hAnsi="宋体" w:cs="宋体"/>
                <w:lang w:eastAsia="zh-CN"/>
              </w:rPr>
              <w:t>固定</w:t>
            </w:r>
            <w:r>
              <w:rPr>
                <w:rFonts w:hint="eastAsia" w:ascii="宋体" w:hAnsi="宋体" w:cs="宋体"/>
              </w:rPr>
              <w:t>。生产过程不涉及标准中“8.3设计和开发”条款内容</w:t>
            </w:r>
            <w:r>
              <w:rPr>
                <w:rFonts w:hint="eastAsia" w:ascii="宋体" w:hAnsi="宋体"/>
                <w:color w:val="000000" w:themeColor="text1"/>
              </w:rPr>
              <w:t>。8.3条款的不适用不影响组织提供满足客户要求及法律法规要求的责任。</w:t>
            </w:r>
            <w:r>
              <w:rPr>
                <w:rFonts w:hint="eastAsia" w:ascii="宋体" w:hAnsi="宋体"/>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r>
              <w:rPr>
                <w:rFonts w:ascii="宋体" w:hAnsi="宋体"/>
                <w:b/>
                <w:color w:val="000000" w:themeColor="text1"/>
                <w:spacing w:val="-12"/>
                <w:sz w:val="20"/>
                <w:szCs w:val="20"/>
              </w:rPr>
              <w:t xml:space="preserve"> </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00" w:lineRule="exact"/>
              <w:ind w:firstLine="301" w:firstLineChars="150"/>
              <w:rPr>
                <w:rFonts w:asciiTheme="minorEastAsia" w:hAnsiTheme="minorEastAsia" w:eastAsiaTheme="minorEastAsia"/>
                <w:b/>
                <w:color w:val="000000" w:themeColor="text1"/>
                <w:sz w:val="20"/>
                <w:szCs w:val="20"/>
              </w:rPr>
            </w:pPr>
            <w:r>
              <w:rPr>
                <w:rFonts w:hint="eastAsia" w:asciiTheme="minorEastAsia" w:hAnsiTheme="minorEastAsia" w:eastAsiaTheme="minor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p>
            <w:pPr>
              <w:spacing w:line="300" w:lineRule="exact"/>
              <w:ind w:firstLine="370" w:firstLineChars="200"/>
              <w:rPr>
                <w:rFonts w:ascii="宋体" w:hAnsi="宋体"/>
                <w:b/>
                <w:color w:val="000000" w:themeColor="text1"/>
                <w:spacing w:val="-8"/>
                <w:sz w:val="20"/>
                <w:szCs w:val="20"/>
              </w:rPr>
            </w:pPr>
            <w:r>
              <w:rPr>
                <w:rFonts w:hint="eastAsia" w:ascii="宋体" w:hAnsi="宋体"/>
                <w:b/>
                <w:color w:val="000000" w:themeColor="text1"/>
                <w:spacing w:val="-8"/>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b/>
                <w:color w:val="000000" w:themeColor="text1"/>
                <w:szCs w:val="21"/>
              </w:rPr>
              <w:t xml:space="preserve">8. </w:t>
            </w:r>
            <w:r>
              <w:rPr>
                <w:rFonts w:hint="eastAsia" w:ascii="宋体" w:hAnsi="宋体"/>
                <w:b/>
                <w:color w:val="000000" w:themeColor="text1"/>
                <w:spacing w:val="-4"/>
                <w:szCs w:val="21"/>
              </w:rPr>
              <w:t>法律法规及其他要求</w:t>
            </w:r>
          </w:p>
          <w:p>
            <w:pPr>
              <w:tabs>
                <w:tab w:val="left" w:pos="540"/>
              </w:tabs>
              <w:spacing w:line="300" w:lineRule="exact"/>
              <w:ind w:left="211" w:hanging="211" w:hangingChars="100"/>
              <w:rPr>
                <w:rFonts w:ascii="宋体" w:hAnsi="宋体"/>
                <w:b/>
                <w:color w:val="000000" w:themeColor="text1"/>
                <w:szCs w:val="21"/>
              </w:rPr>
            </w:pPr>
          </w:p>
          <w:p>
            <w:pPr>
              <w:pStyle w:val="12"/>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获取法律法规项，☑法律法规获取充分，□法律法规获取有遗漏，缺少</w:t>
            </w:r>
          </w:p>
          <w:p>
            <w:pPr>
              <w:tabs>
                <w:tab w:val="left" w:pos="540"/>
              </w:tabs>
              <w:spacing w:line="300" w:lineRule="exact"/>
              <w:ind w:left="1" w:leftChars="-43" w:hanging="91" w:hangingChars="43"/>
              <w:rPr>
                <w:rFonts w:ascii="宋体" w:hAnsi="宋体"/>
                <w:b/>
                <w:color w:val="000000" w:themeColor="text1"/>
                <w:szCs w:val="21"/>
                <w:u w:val="single"/>
              </w:rPr>
            </w:pPr>
          </w:p>
          <w:p>
            <w:pPr>
              <w:pStyle w:val="12"/>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结合公司的☑产品/服务□环境因素□危险源，☑确定 □未确定法律法规要求的具体条款，</w:t>
            </w:r>
          </w:p>
          <w:p>
            <w:pPr>
              <w:pStyle w:val="12"/>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法律法规的宣传方式：培训、会议、张贴。</w:t>
            </w:r>
          </w:p>
          <w:p>
            <w:pPr>
              <w:pStyle w:val="12"/>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法律法规要求及时更新了</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9.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spacing w:line="300" w:lineRule="exact"/>
              <w:ind w:firstLine="420" w:firstLineChars="200"/>
              <w:rPr>
                <w:rFonts w:ascii="宋体" w:hAnsi="宋体"/>
                <w:b/>
                <w:color w:val="000000" w:themeColor="text1"/>
                <w:sz w:val="20"/>
                <w:szCs w:val="20"/>
              </w:rPr>
            </w:pPr>
            <w:r>
              <w:rPr>
                <w:rFonts w:hint="eastAsia" w:ascii="宋体" w:hAnsi="宋体" w:cs="宋体"/>
                <w:color w:val="000000"/>
                <w:kern w:val="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p>
            <w:pPr>
              <w:spacing w:line="300" w:lineRule="exact"/>
              <w:ind w:firstLine="420" w:firstLineChars="200"/>
              <w:rPr>
                <w:rFonts w:ascii="宋体" w:hAnsi="宋体" w:cs="宋体"/>
                <w:color w:val="000000"/>
                <w:kern w:val="0"/>
                <w:szCs w:val="21"/>
              </w:rPr>
            </w:pPr>
            <w:r>
              <w:rPr>
                <w:rFonts w:hint="eastAsia"/>
                <w:color w:val="000000"/>
                <w:szCs w:val="21"/>
              </w:rPr>
              <w:t>质</w:t>
            </w:r>
            <w:r>
              <w:rPr>
                <w:rFonts w:hint="eastAsia" w:ascii="宋体" w:hAnsi="宋体" w:cs="宋体"/>
                <w:color w:val="000000"/>
                <w:kern w:val="0"/>
                <w:szCs w:val="21"/>
              </w:rPr>
              <w:t>量目标：</w:t>
            </w:r>
          </w:p>
          <w:p>
            <w:pPr>
              <w:spacing w:line="360" w:lineRule="auto"/>
              <w:ind w:firstLine="840" w:firstLineChars="400"/>
              <w:rPr>
                <w:rFonts w:ascii="宋体" w:hAnsi="宋体"/>
                <w:szCs w:val="22"/>
              </w:rPr>
            </w:pPr>
            <w:r>
              <w:rPr>
                <w:rFonts w:hint="eastAsia" w:ascii="宋体" w:hAnsi="宋体"/>
                <w:szCs w:val="22"/>
              </w:rPr>
              <w:t>a、产品交付合格率100%；</w:t>
            </w:r>
          </w:p>
          <w:p>
            <w:pPr>
              <w:spacing w:line="360" w:lineRule="auto"/>
              <w:ind w:firstLine="840" w:firstLineChars="400"/>
              <w:rPr>
                <w:rFonts w:ascii="宋体" w:hAnsi="宋体"/>
                <w:szCs w:val="22"/>
              </w:rPr>
            </w:pPr>
            <w:r>
              <w:rPr>
                <w:rFonts w:hint="eastAsia" w:ascii="宋体" w:hAnsi="宋体"/>
                <w:szCs w:val="22"/>
              </w:rPr>
              <w:t>b、顾客满意度97%</w:t>
            </w:r>
          </w:p>
          <w:p>
            <w:pPr>
              <w:spacing w:line="360" w:lineRule="auto"/>
              <w:ind w:left="210" w:leftChars="100" w:firstLine="630" w:firstLineChars="300"/>
              <w:rPr>
                <w:rFonts w:ascii="宋体" w:hAnsi="宋体"/>
                <w:b/>
                <w:color w:val="000000" w:themeColor="text1"/>
              </w:rPr>
            </w:pPr>
            <w:r>
              <w:rPr>
                <w:rFonts w:hint="eastAsia" w:ascii="宋体" w:hAnsi="宋体"/>
                <w:szCs w:val="22"/>
              </w:rPr>
              <w:t>c、交货及时率98%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rPr>
              <w:t>10.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240" w:lineRule="exact"/>
              <w:ind w:firstLine="420" w:firstLineChars="200"/>
              <w:rPr>
                <w:rFonts w:ascii="宋体" w:hAnsi="宋体"/>
                <w:b/>
                <w:color w:val="000000" w:themeColor="text1"/>
                <w:sz w:val="20"/>
                <w:szCs w:val="20"/>
              </w:rPr>
            </w:pPr>
            <w:r>
              <w:rPr>
                <w:rFonts w:hint="eastAsia" w:ascii="宋体" w:hAnsi="宋体" w:cs="宋体"/>
                <w:color w:val="000000" w:themeColor="text1"/>
              </w:rPr>
              <w:t>公司按照申请认证的标准要求，建立并形成了文件化的</w:t>
            </w:r>
            <w:r>
              <w:rPr>
                <w:rFonts w:hint="eastAsia" w:ascii="宋体" w:hAnsi="宋体"/>
                <w:color w:val="000000" w:themeColor="text1"/>
              </w:rPr>
              <w:t>质量管理</w:t>
            </w:r>
            <w:r>
              <w:rPr>
                <w:rFonts w:hint="eastAsia" w:ascii="宋体" w:hAnsi="宋体" w:cs="宋体"/>
                <w:color w:val="000000" w:themeColor="text1"/>
              </w:rPr>
              <w:t>体系文件，体系文件对管理体系各过程进行了识别确定、明确了各要素间的相互关系及其管控要求。公司体系文件于</w:t>
            </w:r>
            <w:r>
              <w:rPr>
                <w:rFonts w:hint="eastAsia" w:ascii="宋体" w:hAnsi="宋体" w:cs="Arial"/>
                <w:color w:val="000000" w:themeColor="text1"/>
              </w:rPr>
              <w:t>2020</w:t>
            </w:r>
            <w:r>
              <w:rPr>
                <w:rFonts w:hint="eastAsia" w:ascii="宋体" w:hAnsi="宋体" w:cs="宋体"/>
                <w:color w:val="000000" w:themeColor="text1"/>
              </w:rPr>
              <w:t>年06月01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tabs>
                <w:tab w:val="left" w:pos="2552"/>
              </w:tabs>
              <w:spacing w:line="0" w:lineRule="atLeast"/>
              <w:ind w:firstLine="420" w:firstLineChars="200"/>
              <w:rPr>
                <w:rFonts w:ascii="宋体" w:hAnsi="宋体"/>
                <w:bCs/>
                <w:iCs/>
                <w:szCs w:val="22"/>
              </w:rPr>
            </w:pPr>
            <w:r>
              <w:rPr>
                <w:rFonts w:hint="eastAsia" w:ascii="宋体" w:hAnsi="宋体"/>
                <w:bCs/>
                <w:iCs/>
              </w:rPr>
              <w:t>组</w:t>
            </w:r>
            <w:r>
              <w:rPr>
                <w:rFonts w:hint="eastAsia" w:ascii="宋体" w:hAnsi="宋体"/>
                <w:bCs/>
                <w:iCs/>
                <w:szCs w:val="22"/>
              </w:rPr>
              <w:t>织按管理体系需求配置了充足的人员、设施、监视和测量设备等资源，并建立维持了</w:t>
            </w:r>
            <w:r>
              <w:rPr>
                <w:rFonts w:hint="eastAsia" w:ascii="宋体" w:hAnsi="宋体"/>
                <w:szCs w:val="21"/>
              </w:rPr>
              <w:t>产品的生产</w:t>
            </w:r>
            <w:r>
              <w:rPr>
                <w:rFonts w:hint="eastAsia" w:ascii="宋体" w:hAnsi="宋体"/>
                <w:bCs/>
                <w:iCs/>
                <w:szCs w:val="22"/>
              </w:rPr>
              <w:t>及相关服务运行环境，可以维持管理体系的正常运行。</w:t>
            </w:r>
          </w:p>
          <w:p>
            <w:pPr>
              <w:spacing w:line="300" w:lineRule="exact"/>
              <w:rPr>
                <w:rFonts w:ascii="宋体" w:hAnsi="宋体"/>
                <w:b/>
                <w:color w:val="000000" w:themeColor="text1"/>
                <w:sz w:val="20"/>
                <w:szCs w:val="20"/>
              </w:rPr>
            </w:pPr>
            <w:r>
              <w:rPr>
                <w:rFonts w:hint="eastAsia" w:ascii="宋体" w:hAnsi="宋体"/>
                <w:bCs/>
                <w:iCs/>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spacing w:line="400" w:lineRule="exact"/>
              <w:ind w:firstLine="420" w:firstLineChars="200"/>
              <w:rPr>
                <w:rFonts w:ascii="宋体" w:hAnsi="宋体"/>
                <w:b/>
                <w:color w:val="000000" w:themeColor="text1"/>
                <w:sz w:val="20"/>
                <w:szCs w:val="20"/>
              </w:rPr>
            </w:pPr>
            <w:r>
              <w:rPr>
                <w:rFonts w:hint="eastAsia"/>
                <w:szCs w:val="21"/>
              </w:rPr>
              <w:t>组织为自建的加工厂房及办公场地.主要生产设备包括：</w:t>
            </w:r>
            <w:r>
              <w:rPr>
                <w:rFonts w:hint="eastAsia" w:ascii="宋体" w:hAnsi="宋体" w:cs="宋体"/>
                <w:szCs w:val="21"/>
              </w:rPr>
              <w:t>高频焊管生产线、保护焊机、</w:t>
            </w:r>
            <w:r>
              <w:rPr>
                <w:rFonts w:hint="eastAsia" w:ascii="宋体" w:hAnsi="宋体"/>
                <w:szCs w:val="21"/>
              </w:rPr>
              <w:t>电脑及办公设备等</w:t>
            </w:r>
            <w:r>
              <w:rPr>
                <w:rFonts w:hint="eastAsia"/>
                <w:szCs w:val="21"/>
              </w:rPr>
              <w:t>等</w:t>
            </w:r>
            <w:r>
              <w:rPr>
                <w:rFonts w:hint="eastAsia"/>
                <w:color w:val="000000" w:themeColor="text1"/>
                <w:szCs w:val="21"/>
              </w:rPr>
              <w:t>，可以满足产品生产需要。对</w:t>
            </w:r>
            <w:r>
              <w:rPr>
                <w:rFonts w:hint="eastAsia"/>
                <w:szCs w:val="21"/>
              </w:rPr>
              <w:t>设备按月方式进行点检维护保养，并实施。特种设备：</w:t>
            </w:r>
            <w:r>
              <w:rPr>
                <w:rFonts w:hint="eastAsia"/>
                <w:szCs w:val="21"/>
                <w:lang w:eastAsia="zh-CN"/>
              </w:rPr>
              <w:t>行车，当量均正在</w:t>
            </w:r>
            <w:r>
              <w:rPr>
                <w:rFonts w:hint="eastAsia"/>
                <w:szCs w:val="21"/>
                <w:lang w:val="en-US" w:eastAsia="zh-CN"/>
              </w:rPr>
              <w:t>2.8T及以下，提供合格证</w:t>
            </w:r>
            <w:r>
              <w:rPr>
                <w:rFonts w:hint="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spacing w:line="240" w:lineRule="exact"/>
              <w:ind w:firstLine="420" w:firstLineChars="200"/>
              <w:rPr>
                <w:rFonts w:ascii="宋体" w:hAnsi="宋体"/>
                <w:b/>
                <w:color w:val="000000" w:themeColor="text1"/>
                <w:sz w:val="20"/>
                <w:szCs w:val="20"/>
              </w:rPr>
            </w:pPr>
            <w:r>
              <w:rPr>
                <w:rFonts w:hint="eastAsia" w:ascii="宋体" w:hAnsi="宋体" w:cs="宋体"/>
                <w:szCs w:val="21"/>
              </w:rPr>
              <w:t>车间内设备布置合理，通道畅通，照明设施齐全，均配备了消防设施等设施。办公室明亮，作业场所光线较充足。每月由生产部对工作环境进行定期检查。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firstLine="402" w:firstLineChars="200"/>
              <w:rPr>
                <w:color w:val="000000" w:themeColor="text1"/>
                <w:szCs w:val="21"/>
              </w:rPr>
            </w:pPr>
            <w:r>
              <w:rPr>
                <w:rFonts w:hint="eastAsia" w:ascii="宋体" w:hAnsi="宋体"/>
                <w:b/>
                <w:color w:val="000000" w:themeColor="text1"/>
                <w:sz w:val="20"/>
                <w:szCs w:val="20"/>
              </w:rPr>
              <w:t>监视和测量资源</w:t>
            </w:r>
          </w:p>
          <w:p>
            <w:pPr>
              <w:spacing w:line="240" w:lineRule="exact"/>
              <w:ind w:firstLine="420" w:firstLineChars="200"/>
              <w:rPr>
                <w:rFonts w:ascii="宋体" w:hAnsi="宋体"/>
                <w:b/>
                <w:sz w:val="20"/>
                <w:szCs w:val="20"/>
              </w:rPr>
            </w:pPr>
            <w:r>
              <w:rPr>
                <w:rFonts w:hint="eastAsia"/>
                <w:szCs w:val="21"/>
              </w:rPr>
              <w:t>公司的监视和测量设施设备主要是</w:t>
            </w:r>
            <w:r>
              <w:rPr>
                <w:rFonts w:hint="eastAsia" w:ascii="宋体" w:hAnsi="宋体"/>
                <w:szCs w:val="21"/>
              </w:rPr>
              <w:t>游标卡尺、卷尺、压力表、厚度尺等</w:t>
            </w:r>
            <w:r>
              <w:rPr>
                <w:rFonts w:hint="eastAsia"/>
                <w:szCs w:val="21"/>
              </w:rPr>
              <w:t>，</w:t>
            </w:r>
            <w:r>
              <w:rPr>
                <w:rFonts w:hint="eastAsia" w:ascii="宋体" w:hAnsi="宋体" w:cs="宋体"/>
                <w:szCs w:val="21"/>
              </w:rPr>
              <w:t>均采用委外送检的方式。抽在用量具的检定或校准证书，不能提供效期内的检验校准证书</w:t>
            </w:r>
            <w:r>
              <w:rPr>
                <w:rFonts w:hint="eastAsia"/>
                <w:szCs w:val="21"/>
              </w:rPr>
              <w:t>，不符合标准要求。一阶段提出的不符合在二阶段审核时未整改关闭。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spacing w:line="400" w:lineRule="exact"/>
              <w:ind w:firstLine="315" w:firstLineChars="150"/>
              <w:rPr>
                <w:rFonts w:ascii="宋体" w:hAnsi="宋体" w:cs="宋体"/>
                <w:color w:val="000000"/>
                <w:szCs w:val="21"/>
              </w:rPr>
            </w:pPr>
            <w:r>
              <w:rPr>
                <w:rFonts w:hint="eastAsia" w:ascii="宋体" w:hAnsi="宋体" w:cs="宋体"/>
                <w:color w:val="000000"/>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400" w:lineRule="exact"/>
              <w:ind w:firstLine="315" w:firstLineChars="150"/>
              <w:rPr>
                <w:rFonts w:ascii="宋体" w:hAnsi="宋体"/>
                <w:b/>
                <w:color w:val="000000" w:themeColor="text1"/>
                <w:sz w:val="20"/>
                <w:szCs w:val="20"/>
              </w:rPr>
            </w:pPr>
            <w:r>
              <w:rPr>
                <w:rFonts w:hint="eastAsia" w:ascii="宋体" w:hAnsi="宋体" w:cs="宋体"/>
                <w:color w:val="000000"/>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环保设施：</w:t>
            </w:r>
          </w:p>
          <w:p>
            <w:pPr>
              <w:spacing w:line="240" w:lineRule="exact"/>
              <w:rPr>
                <w:rFonts w:ascii="宋体" w:hAnsi="宋体"/>
                <w:color w:val="FF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6"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color w:val="FF0000"/>
                <w:sz w:val="20"/>
                <w:szCs w:val="20"/>
              </w:rPr>
            </w:pPr>
            <w:r>
              <w:rPr>
                <w:rFonts w:hint="eastAsia" w:ascii="宋体" w:hAnsi="宋体"/>
                <w:b/>
                <w:color w:val="000000" w:themeColor="text1"/>
                <w:sz w:val="20"/>
                <w:szCs w:val="20"/>
              </w:rPr>
              <w:t>职业健康安全设施：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6"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spacing w:line="300" w:lineRule="exact"/>
              <w:ind w:left="1" w:firstLine="420" w:firstLineChars="200"/>
              <w:rPr>
                <w:b/>
                <w:color w:val="000000" w:themeColor="text1"/>
                <w:sz w:val="20"/>
                <w:szCs w:val="20"/>
              </w:rPr>
            </w:pPr>
            <w:r>
              <w:rPr>
                <w:rFonts w:hint="eastAsia" w:ascii="宋体" w:hAnsi="宋体" w:cs="宋体"/>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ascii="宋体" w:hAnsi="宋体" w:cs="宋体"/>
                <w:color w:val="000000"/>
                <w:szCs w:val="21"/>
              </w:rPr>
              <w:t>在公司内部主要采用电话、会议、面谈等形式就与产品质量、服务有关问题及与质量管理体系有关问题进行沟通，未发生由于沟通不到位而影响工作的情况。</w:t>
            </w:r>
          </w:p>
          <w:p>
            <w:pPr>
              <w:spacing w:line="240" w:lineRule="exact"/>
              <w:rPr>
                <w:rFonts w:ascii="楷体_GB2312" w:eastAsia="楷体_GB2312"/>
                <w:b/>
                <w:color w:val="000000" w:themeColor="text1"/>
                <w:sz w:val="20"/>
                <w:szCs w:val="20"/>
              </w:rPr>
            </w:pPr>
            <w:r>
              <w:rPr>
                <w:rFonts w:hint="eastAsia" w:ascii="宋体" w:hAnsi="宋体" w:cs="宋体"/>
                <w:color w:val="000000"/>
                <w:szCs w:val="21"/>
              </w:rPr>
              <w:t>内部沟通的效果：良好</w:t>
            </w:r>
          </w:p>
          <w:p>
            <w:pPr>
              <w:spacing w:line="240" w:lineRule="exact"/>
              <w:rPr>
                <w:rFonts w:ascii="楷体_GB2312" w:eastAsia="楷体_GB2312"/>
                <w:b/>
                <w:color w:val="000000" w:themeColor="text1"/>
                <w:sz w:val="20"/>
                <w:szCs w:val="20"/>
              </w:rPr>
            </w:pPr>
          </w:p>
          <w:p>
            <w:pPr>
              <w:spacing w:line="240" w:lineRule="exact"/>
              <w:rPr>
                <w:rFonts w:ascii="宋体" w:hAnsi="宋体" w:cs="宋体"/>
                <w:color w:val="000000"/>
                <w:szCs w:val="21"/>
              </w:rPr>
            </w:pPr>
            <w:r>
              <w:rPr>
                <w:rFonts w:hint="eastAsia" w:ascii="楷体_GB2312" w:eastAsia="楷体_GB2312"/>
                <w:b/>
                <w:color w:val="000000" w:themeColor="text1"/>
                <w:sz w:val="20"/>
                <w:szCs w:val="20"/>
              </w:rPr>
              <w:t>组织对外联络，关注顾客的感受情况（QMS）：</w:t>
            </w:r>
            <w:r>
              <w:rPr>
                <w:rFonts w:hint="eastAsia" w:ascii="宋体" w:hAnsi="宋体" w:cs="宋体"/>
                <w:color w:val="000000"/>
                <w:szCs w:val="21"/>
              </w:rPr>
              <w:t>采取顾客满意度调查方式了解顾客感受。</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w:t>
            </w: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重要环境因素信息对外交流情况（EMS填写）：</w:t>
            </w:r>
          </w:p>
          <w:p>
            <w:pPr>
              <w:spacing w:line="240" w:lineRule="exact"/>
              <w:rPr>
                <w:rFonts w:ascii="楷体_GB2312" w:eastAsia="楷体_GB2312"/>
                <w:b/>
                <w:color w:val="000000" w:themeColor="text1"/>
                <w:szCs w:val="21"/>
              </w:rPr>
            </w:pPr>
            <w:r>
              <w:rPr>
                <w:rFonts w:hint="eastAsia" w:ascii="楷体_GB2312" w:eastAsia="楷体_GB2312"/>
                <w:b/>
                <w:color w:val="000000" w:themeColor="text1"/>
                <w:sz w:val="20"/>
                <w:szCs w:val="20"/>
              </w:rPr>
              <w:t>OHSMS事务代表协商和交流的情况（OHSMS填写）：</w:t>
            </w:r>
          </w:p>
          <w:p>
            <w:pPr>
              <w:spacing w:line="240" w:lineRule="exact"/>
              <w:rPr>
                <w:rFonts w:ascii="楷体_GB2312" w:eastAsia="楷体_GB2312"/>
                <w:b/>
                <w:color w:val="000000" w:themeColor="text1"/>
                <w:szCs w:val="21"/>
              </w:rPr>
            </w:pPr>
            <w:r>
              <w:rPr>
                <w:rFonts w:hint="eastAsia" w:ascii="楷体_GB2312" w:eastAsia="楷体_GB2312"/>
                <w:b/>
                <w:color w:val="000000" w:themeColor="text1"/>
                <w:szCs w:val="21"/>
              </w:rPr>
              <w:t>与相关方协商的情况（OHSMS填写）：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360" w:lineRule="auto"/>
              <w:ind w:firstLine="420" w:firstLineChars="200"/>
              <w:rPr>
                <w:b/>
                <w:color w:val="000000" w:themeColor="text1"/>
                <w:sz w:val="20"/>
                <w:szCs w:val="20"/>
              </w:rPr>
            </w:pPr>
            <w:r>
              <w:rPr>
                <w:rFonts w:hint="eastAsia" w:ascii="宋体" w:hAnsi="宋体" w:cs="宋体"/>
                <w:color w:val="000000"/>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w:t>
            </w:r>
            <w:r>
              <w:rPr>
                <w:rFonts w:hint="eastAsia" w:ascii="宋体" w:hAnsi="宋体" w:cs="宋体"/>
                <w:color w:val="000000" w:themeColor="text1"/>
                <w:szCs w:val="21"/>
              </w:rPr>
              <w:t>实施和改进活动正常有序展开（包括回访和顾客满意度调查），相关绩效表明：组织基本能有效控制管理其生产及服务过程，从审核过程看，公司的产品质量管理基本受控。</w:t>
            </w:r>
            <w:r>
              <w:rPr>
                <w:rFonts w:hint="eastAsia" w:ascii="宋体" w:hAnsi="宋体" w:cs="宋体"/>
                <w:szCs w:val="21"/>
              </w:rPr>
              <w:t xml:space="preserve"> QMS关键/ 特殊过程：焊接过程。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240" w:lineRule="exact"/>
              <w:ind w:firstLine="420" w:firstLineChars="200"/>
              <w:rPr>
                <w:rFonts w:ascii="宋体" w:hAnsi="宋体" w:cs="宋体"/>
                <w:color w:val="000000"/>
                <w:szCs w:val="21"/>
              </w:rPr>
            </w:pPr>
            <w:r>
              <w:rPr>
                <w:rFonts w:hint="eastAsia" w:ascii="宋体" w:hAnsi="宋体" w:cs="宋体"/>
                <w:color w:val="000000"/>
                <w:szCs w:val="21"/>
              </w:rPr>
              <w:t>制定并实施了产品检验控制规定，规定了公司各管理层次和品质检测部门在各阶段对产品服务质量实施检查与验收的管理要求。内容基本具备全面性、系统性及可操作性。质量检查与验收均在出厂前予以实现，范围包括：过程、最终产品。以此保证持续向顾客稳定提供稳定合格的产品。</w:t>
            </w:r>
          </w:p>
          <w:p>
            <w:pPr>
              <w:spacing w:line="240" w:lineRule="exact"/>
              <w:rPr>
                <w:b/>
                <w:color w:val="000000" w:themeColor="text1"/>
                <w:sz w:val="20"/>
                <w:szCs w:val="20"/>
              </w:rPr>
            </w:pPr>
            <w:r>
              <w:rPr>
                <w:rFonts w:hint="eastAsia"/>
                <w:b/>
                <w:color w:val="000000" w:themeColor="text1"/>
                <w:sz w:val="20"/>
                <w:szCs w:val="20"/>
              </w:rPr>
              <w:t>(应说明相关证据)：</w:t>
            </w:r>
            <w:r>
              <w:rPr>
                <w:rFonts w:hint="eastAsia"/>
                <w:sz w:val="20"/>
                <w:szCs w:val="20"/>
              </w:rPr>
              <w:t>验收规范、验收记录等。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240" w:lineRule="exact"/>
              <w:ind w:firstLine="420" w:firstLineChars="200"/>
              <w:rPr>
                <w:rFonts w:ascii="宋体" w:hAnsi="宋体" w:cs="宋体"/>
                <w:szCs w:val="21"/>
              </w:rPr>
            </w:pPr>
            <w:r>
              <w:rPr>
                <w:rFonts w:hint="eastAsia" w:ascii="宋体" w:hAnsi="宋体" w:cs="宋体"/>
                <w:szCs w:val="21"/>
              </w:rPr>
              <w:t>无</w:t>
            </w:r>
          </w:p>
          <w:p>
            <w:pPr>
              <w:spacing w:line="240" w:lineRule="exact"/>
              <w:ind w:firstLine="402" w:firstLineChars="200"/>
              <w:rPr>
                <w:b/>
                <w:color w:val="000000" w:themeColor="text1"/>
                <w:sz w:val="20"/>
                <w:szCs w:val="20"/>
              </w:rPr>
            </w:pPr>
            <w:r>
              <w:rPr>
                <w:rFonts w:hint="eastAsia"/>
                <w:b/>
                <w:color w:val="000000" w:themeColor="text1"/>
                <w:sz w:val="20"/>
                <w:szCs w:val="20"/>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9"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240" w:lineRule="exact"/>
              <w:ind w:firstLine="420" w:firstLineChars="200"/>
              <w:rPr>
                <w:b/>
                <w:color w:val="000000" w:themeColor="text1"/>
                <w:sz w:val="20"/>
                <w:szCs w:val="20"/>
              </w:rPr>
            </w:pPr>
            <w:r>
              <w:rPr>
                <w:rFonts w:hint="eastAsia" w:ascii="宋体" w:hAnsi="宋体" w:cs="宋体"/>
                <w:color w:val="000000"/>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8. OHS 组织对不可接受风险实施控制的结果</w:t>
            </w:r>
          </w:p>
          <w:p>
            <w:p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rPr>
                <w:rFonts w:asciiTheme="minorEastAsia" w:hAnsiTheme="minorEastAsia" w:eastAsiaTheme="minorEastAsia"/>
                <w:b/>
                <w:color w:val="000000" w:themeColor="text1"/>
                <w:spacing w:val="-4"/>
                <w:sz w:val="20"/>
                <w:szCs w:val="20"/>
              </w:rPr>
            </w:pPr>
            <w:r>
              <w:rPr>
                <w:rFonts w:hint="eastAsia" w:asciiTheme="minorEastAsia" w:hAnsiTheme="minorEastAsia" w:eastAsiaTheme="minorEastAsia"/>
                <w:b/>
                <w:color w:val="000000" w:themeColor="text1"/>
                <w:spacing w:val="-4"/>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10. 对特种设备的维护; （适用时）</w:t>
            </w:r>
          </w:p>
          <w:p>
            <w:pPr>
              <w:spacing w:line="240" w:lineRule="exact"/>
              <w:rPr>
                <w:b/>
                <w:color w:val="000000" w:themeColor="text1"/>
                <w:sz w:val="20"/>
                <w:szCs w:val="20"/>
              </w:rPr>
            </w:pPr>
            <w:r>
              <w:rPr>
                <w:rFonts w:hint="eastAsia"/>
                <w:b/>
                <w:color w:val="000000" w:themeColor="text1"/>
                <w:sz w:val="20"/>
                <w:szCs w:val="20"/>
              </w:rPr>
              <w:t>特种设备：</w:t>
            </w:r>
            <w:r>
              <w:rPr>
                <w:rFonts w:hint="eastAsia"/>
                <w:b/>
                <w:sz w:val="20"/>
                <w:szCs w:val="20"/>
              </w:rPr>
              <w:t>行车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sz w:val="20"/>
                <w:szCs w:val="20"/>
              </w:rPr>
            </w:pPr>
            <w:r>
              <w:rPr>
                <w:rFonts w:hint="eastAsia"/>
                <w:b/>
                <w:color w:val="000000" w:themeColor="text1"/>
                <w:sz w:val="20"/>
                <w:szCs w:val="20"/>
              </w:rPr>
              <w:t>11 .对危险化学品销售、使用、储存、运输处置，规定的执行力度(必要时);</w:t>
            </w:r>
            <w:r>
              <w:rPr>
                <w:rFonts w:hint="eastAsia"/>
                <w:b/>
                <w:color w:val="FF0000"/>
                <w:sz w:val="20"/>
                <w:szCs w:val="20"/>
              </w:rPr>
              <w:t xml:space="preserve"> </w:t>
            </w:r>
            <w:r>
              <w:rPr>
                <w:rFonts w:hint="eastAsia"/>
                <w:b/>
                <w:sz w:val="20"/>
                <w:szCs w:val="20"/>
              </w:rPr>
              <w:t>（适用时）</w:t>
            </w:r>
          </w:p>
          <w:p>
            <w:pPr>
              <w:spacing w:line="240" w:lineRule="exact"/>
              <w:rPr>
                <w:color w:val="FF0000"/>
                <w:sz w:val="20"/>
                <w:szCs w:val="20"/>
              </w:rPr>
            </w:pPr>
            <w:r>
              <w:rPr>
                <w:rFonts w:hint="eastAsia" w:asciiTheme="minorEastAsia" w:hAnsiTheme="minorEastAsia" w:eastAsiaTheme="minorEastAsia"/>
                <w:b/>
                <w:color w:val="000000" w:themeColor="text1"/>
                <w:spacing w:val="-4"/>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240" w:lineRule="exact"/>
              <w:ind w:left="100" w:hanging="100" w:hangingChars="50"/>
              <w:rPr>
                <w:b/>
                <w:sz w:val="20"/>
                <w:szCs w:val="20"/>
              </w:rPr>
            </w:pPr>
            <w:r>
              <w:rPr>
                <w:rFonts w:hint="eastAsia"/>
                <w:b/>
                <w:sz w:val="20"/>
                <w:szCs w:val="20"/>
              </w:rPr>
              <w:t>1. .对质量/环境/职业健康安全目标指标进行定期监测/检查情况（适用时）</w:t>
            </w:r>
          </w:p>
          <w:p>
            <w:pPr>
              <w:spacing w:line="240" w:lineRule="exact"/>
              <w:ind w:firstLine="525" w:firstLineChars="250"/>
              <w:rPr>
                <w:b/>
                <w:sz w:val="20"/>
                <w:szCs w:val="20"/>
              </w:rPr>
            </w:pPr>
            <w:r>
              <w:rPr>
                <w:rFonts w:hint="eastAsia" w:ascii="宋体" w:hAnsi="宋体" w:cs="宋体"/>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通过2020年6月-2020年10月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0"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left="100" w:hanging="100" w:hangingChars="50"/>
              <w:rPr>
                <w:b/>
                <w:sz w:val="20"/>
                <w:szCs w:val="20"/>
              </w:rPr>
            </w:pPr>
            <w:r>
              <w:rPr>
                <w:rFonts w:hint="eastAsia"/>
                <w:b/>
                <w:sz w:val="20"/>
                <w:szCs w:val="20"/>
              </w:rPr>
              <w:t>2.顾客满意</w:t>
            </w:r>
          </w:p>
          <w:p>
            <w:pPr>
              <w:spacing w:line="240" w:lineRule="exact"/>
              <w:ind w:left="105" w:leftChars="50" w:firstLine="315" w:firstLineChars="150"/>
              <w:rPr>
                <w:b/>
                <w:sz w:val="20"/>
                <w:szCs w:val="20"/>
              </w:rPr>
            </w:pPr>
            <w:r>
              <w:rPr>
                <w:rFonts w:hint="eastAsia" w:ascii="宋体" w:hAnsi="宋体" w:cs="宋体"/>
                <w:szCs w:val="21"/>
              </w:rPr>
              <w:t>公司建立了顾客满意度监视和测量控制程序，对顾客投诉处理及顾客满意度评价做了明确的规定，并按规定对顾客反馈及时处理，但在顾客反馈信息的利用上不够，需要改善。近年来未发生重大顾客投诉和产品质量事故。顾客满意度调查按规定实施，2020年8月实施，满意度评价98分，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3"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400" w:lineRule="exact"/>
              <w:rPr>
                <w:b/>
                <w:color w:val="FF0000"/>
                <w:sz w:val="20"/>
                <w:szCs w:val="20"/>
              </w:rPr>
            </w:pPr>
            <w:r>
              <w:rPr>
                <w:rFonts w:hint="eastAsia" w:ascii="宋体" w:hAnsi="宋体" w:cs="宋体"/>
                <w:szCs w:val="21"/>
              </w:rPr>
              <w:t>建立有《内部审核控制程序》，规定了内审频次一年一次，内审时间：</w:t>
            </w:r>
            <w:r>
              <w:rPr>
                <w:rFonts w:hint="eastAsia"/>
                <w:szCs w:val="21"/>
              </w:rPr>
              <w:t>2020年08月26日</w:t>
            </w:r>
            <w:r>
              <w:rPr>
                <w:rFonts w:hint="eastAsia" w:ascii="宋体" w:hAnsi="宋体" w:cs="宋体"/>
                <w:szCs w:val="21"/>
              </w:rPr>
              <w:t>，拟定了审核实施表，明确了内审范围，内审人员经培训合格上岗，能力满足要求，未出现审核本部门情况，内审不符合项1项，</w:t>
            </w:r>
            <w:r>
              <w:rPr>
                <w:rFonts w:hint="eastAsia"/>
                <w:szCs w:val="21"/>
              </w:rPr>
              <w:t xml:space="preserve">  涉及生产部8.5.2条款。对不符合事实描述为“</w:t>
            </w:r>
            <w:r>
              <w:rPr>
                <w:rFonts w:hint="eastAsia"/>
                <w:szCs w:val="21"/>
                <w:lang w:val="zh-CN"/>
              </w:rPr>
              <w:t>抽查生产现场，查见原材料</w:t>
            </w:r>
            <w:r>
              <w:rPr>
                <w:rFonts w:hint="eastAsia"/>
                <w:szCs w:val="21"/>
              </w:rPr>
              <w:t>堆放</w:t>
            </w:r>
            <w:r>
              <w:rPr>
                <w:rFonts w:hint="eastAsia"/>
                <w:szCs w:val="21"/>
                <w:lang w:val="zh-CN"/>
              </w:rPr>
              <w:t>区域未进行明确标识</w:t>
            </w:r>
            <w:r>
              <w:rPr>
                <w:rFonts w:hint="eastAsia"/>
                <w:szCs w:val="21"/>
              </w:rPr>
              <w:t>。”</w:t>
            </w:r>
            <w:r>
              <w:rPr>
                <w:rFonts w:hint="eastAsia" w:ascii="宋体" w:hAnsi="宋体" w:cs="宋体"/>
                <w:szCs w:val="21"/>
              </w:rPr>
              <w:t>针对以上不符合项，已及</w:t>
            </w:r>
            <w:r>
              <w:rPr>
                <w:rFonts w:hint="eastAsia"/>
                <w:szCs w:val="21"/>
              </w:rPr>
              <w:t>时采取纠正措施后，经内审员验证关闭。</w:t>
            </w:r>
            <w:r>
              <w:rPr>
                <w:rFonts w:hint="eastAsia" w:ascii="宋体" w:hAnsi="宋体" w:cs="宋体"/>
                <w:szCs w:val="21"/>
              </w:rPr>
              <w:t>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ind w:firstLine="420" w:firstLineChars="200"/>
              <w:rPr>
                <w:b/>
                <w:color w:val="000000" w:themeColor="text1"/>
                <w:sz w:val="20"/>
                <w:szCs w:val="20"/>
              </w:rPr>
            </w:pPr>
            <w:r>
              <w:rPr>
                <w:rFonts w:hint="eastAsia" w:ascii="宋体" w:hAnsi="宋体" w:cs="宋体"/>
                <w:color w:val="000000" w:themeColor="text1"/>
                <w:szCs w:val="21"/>
              </w:rPr>
              <w:t>管理评审频次为一年一次、本次管理评审于2020年9月15日由总经理主持完成、提供主要输入材料有各部门总结，输入信息基本充分和满足要求。输出见“管理评审报告”, 做出了管理体系基本适宜、充分和有效的评审结论。管理评审的输入、输出不具体，需要改善。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5.  EMS是否按规定对主要污染物（污水、废气、噪声、废渣等）及排放实施了例行的监视或测量，结果是否满足相关要求？</w:t>
            </w:r>
          </w:p>
          <w:p>
            <w:pPr>
              <w:spacing w:line="240" w:lineRule="exact"/>
              <w:rPr>
                <w:color w:val="FF0000"/>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 xml:space="preserve">国家/地方环保部门监测结果、新改扩建项目符合环评报告、三同时验收报告要求情况及措施 </w:t>
            </w:r>
          </w:p>
          <w:p>
            <w:p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300" w:lineRule="exact"/>
              <w:rPr>
                <w:b/>
                <w:color w:val="000000" w:themeColor="text1"/>
                <w:sz w:val="20"/>
                <w:szCs w:val="20"/>
              </w:rPr>
            </w:pPr>
            <w:r>
              <w:rPr>
                <w:rFonts w:hint="eastAsia"/>
                <w:b/>
                <w:color w:val="000000" w:themeColor="text1"/>
                <w:sz w:val="20"/>
                <w:szCs w:val="20"/>
              </w:rPr>
              <w:t>/</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b/>
                <w:color w:val="FF0000"/>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b/>
                <w:color w:val="000000" w:themeColor="text1"/>
                <w:sz w:val="20"/>
                <w:szCs w:val="20"/>
              </w:rPr>
            </w:pPr>
            <w:r>
              <w:rPr>
                <w:rFonts w:hint="eastAsia"/>
                <w:b/>
                <w:color w:val="000000" w:themeColor="text1"/>
                <w:sz w:val="20"/>
                <w:szCs w:val="20"/>
              </w:rPr>
              <w:t>9. 其他能够标明组织绩效、信誉的证据/信息：</w:t>
            </w:r>
          </w:p>
          <w:p>
            <w:pPr>
              <w:widowControl/>
              <w:spacing w:line="240" w:lineRule="exact"/>
              <w:rPr>
                <w:b/>
                <w:color w:val="FF0000"/>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400" w:lineRule="exact"/>
              <w:ind w:firstLine="420" w:firstLineChars="200"/>
              <w:rPr>
                <w:rFonts w:ascii="宋体" w:hAnsi="宋体"/>
                <w:szCs w:val="21"/>
              </w:rPr>
            </w:pPr>
            <w:r>
              <w:rPr>
                <w:rFonts w:hint="eastAsia" w:ascii="宋体" w:hAnsi="宋体" w:cs="宋体"/>
                <w:color w:val="000000" w:themeColor="text1"/>
              </w:rPr>
              <w:t>公司明确通过对内、外审核结果、管理评审输出、监测和测量等活动中识别出</w:t>
            </w:r>
            <w:r>
              <w:rPr>
                <w:rFonts w:hint="eastAsia" w:ascii="宋体" w:hAnsi="宋体"/>
                <w:color w:val="000000" w:themeColor="text1"/>
              </w:rPr>
              <w:t>在产品/服务、过程、管理体系等方面</w:t>
            </w:r>
            <w:r>
              <w:rPr>
                <w:rFonts w:hint="eastAsia" w:ascii="宋体" w:hAnsi="宋体" w:cs="宋体"/>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szCs w:val="21"/>
              </w:rPr>
              <w:t>纠正措施的有效性需要改善。</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z w:val="20"/>
                <w:szCs w:val="20"/>
              </w:rPr>
            </w:pPr>
            <w:r>
              <w:rPr>
                <w:rFonts w:hint="eastAsia"/>
                <w:b/>
                <w:color w:val="000000" w:themeColor="text1"/>
                <w:spacing w:val="-2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numPr>
                <w:ilvl w:val="0"/>
                <w:numId w:val="3"/>
              </w:numPr>
              <w:spacing w:line="240" w:lineRule="exact"/>
              <w:rPr>
                <w:b/>
                <w:color w:val="000000" w:themeColor="text1"/>
                <w:spacing w:val="-20"/>
                <w:sz w:val="20"/>
                <w:szCs w:val="20"/>
              </w:rPr>
            </w:pPr>
            <w:r>
              <w:rPr>
                <w:rFonts w:hint="eastAsia"/>
                <w:b/>
                <w:color w:val="000000" w:themeColor="text1"/>
                <w:spacing w:val="-20"/>
                <w:sz w:val="20"/>
                <w:szCs w:val="20"/>
              </w:rPr>
              <w:t>一阶段提出问题的整改情况?</w:t>
            </w:r>
          </w:p>
          <w:p>
            <w:pPr>
              <w:spacing w:line="240" w:lineRule="exact"/>
              <w:rPr>
                <w:b/>
                <w:spacing w:val="-20"/>
                <w:sz w:val="20"/>
                <w:szCs w:val="20"/>
              </w:rPr>
            </w:pPr>
            <w:r>
              <w:rPr>
                <w:rFonts w:hint="eastAsia"/>
                <w:b/>
                <w:spacing w:val="-20"/>
                <w:sz w:val="20"/>
                <w:szCs w:val="20"/>
              </w:rPr>
              <w:t>未整改到位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4.创新情况</w:t>
            </w: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Cs w:val="21"/>
              </w:rPr>
            </w:pPr>
            <w:r>
              <w:rPr>
                <w:rFonts w:hint="eastAsia"/>
                <w:b/>
                <w:color w:val="000000" w:themeColor="text1"/>
                <w:szCs w:val="21"/>
              </w:rPr>
              <w:t>5. 上次不符合的整改情况（再认证填写）</w:t>
            </w:r>
          </w:p>
          <w:p>
            <w:pPr>
              <w:spacing w:line="240" w:lineRule="exact"/>
              <w:rPr>
                <w:b/>
                <w:color w:val="000000" w:themeColor="text1"/>
                <w:szCs w:val="21"/>
              </w:rPr>
            </w:pPr>
            <w:r>
              <w:rPr>
                <w:rFonts w:hint="eastAsia"/>
                <w:b/>
                <w:color w:val="000000" w:themeColor="text1"/>
                <w:szCs w:val="21"/>
              </w:rPr>
              <w:t>/</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rPr>
      </w:pPr>
      <w:r>
        <w:rPr>
          <w:rFonts w:hint="eastAsia"/>
          <w:b/>
        </w:rPr>
        <w:t>1. 本次审核共开具不符合项报告1项；其中</w:t>
      </w:r>
      <w:r>
        <w:rPr>
          <w:b/>
        </w:rPr>
        <w:pict>
          <v:line id="直接连接符 1" o:spid="_x0000_s1027" o:spt="20" style="position:absolute;left:0pt;margin-left:210pt;margin-top:16.2pt;height:0pt;width:0pt;z-index:251658240;mso-width-relative:page;mso-height-relative:page;" coordsize="21600,21600" o:allowincell="f">
            <v:path arrowok="t"/>
            <v:fill focussize="0,0"/>
            <v:stroke/>
            <v:imagedata o:title=""/>
            <o:lock v:ext="edit"/>
          </v:line>
        </w:pict>
      </w:r>
      <w:r>
        <w:rPr>
          <w:rFonts w:hint="eastAsia"/>
          <w:b/>
        </w:rPr>
        <w:t>严重不符合0项，一般不符合1项，观察项项分布在技质部部门Q7.1.5条款，分布见附件。（Q/J/E/S分开填写）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较大■不大</w:t>
      </w:r>
    </w:p>
    <w:p>
      <w:pPr>
        <w:tabs>
          <w:tab w:val="left" w:pos="215"/>
          <w:tab w:val="left" w:pos="430"/>
        </w:tabs>
        <w:spacing w:line="360" w:lineRule="auto"/>
        <w:ind w:left="-190" w:leftChars="-472" w:hanging="801" w:hangingChars="380"/>
        <w:rPr>
          <w:b/>
          <w:color w:val="000000" w:themeColor="text1"/>
        </w:rPr>
      </w:pP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可能影响本次审核结论可靠性的因素：无</w:t>
      </w:r>
    </w:p>
    <w:tbl>
      <w:tblPr>
        <w:tblStyle w:val="8"/>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7"/>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1"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OHSMS的适宜性、充分性、运行有效性，自我完善机制等。管理体系满足适用要求和实现预期结果的能力。</w:t>
            </w:r>
          </w:p>
          <w:p>
            <w:pPr>
              <w:tabs>
                <w:tab w:val="left" w:pos="2552"/>
              </w:tabs>
              <w:spacing w:beforeLines="50" w:afterLines="50" w:line="280" w:lineRule="exact"/>
              <w:ind w:firstLine="442" w:firstLineChars="200"/>
              <w:rPr>
                <w:b/>
                <w:color w:val="000000" w:themeColor="text1"/>
                <w:sz w:val="22"/>
                <w:szCs w:val="22"/>
              </w:rPr>
            </w:pPr>
            <w:r>
              <w:rPr>
                <w:rFonts w:hint="eastAsia"/>
                <w:b/>
                <w:color w:val="000000" w:themeColor="text1"/>
                <w:sz w:val="22"/>
                <w:szCs w:val="22"/>
              </w:rPr>
              <w:t>（</w:t>
            </w:r>
            <w:r>
              <w:rPr>
                <w:rFonts w:hint="eastAsia" w:ascii="微软雅黑" w:hAnsi="微软雅黑" w:eastAsia="微软雅黑"/>
                <w:bCs/>
              </w:rPr>
              <w:t>综上所述，审核组一致认为，（重庆荣淇金属制品有限公司）的质量管理体系适宜、充分、得到良好的实施和保持，体系运行持续有效。</w:t>
            </w:r>
            <w:r>
              <w:rPr>
                <w:rFonts w:hint="eastAsia"/>
                <w:b/>
                <w:color w:val="000000" w:themeColor="text1"/>
                <w:sz w:val="22"/>
                <w:szCs w:val="22"/>
              </w:rPr>
              <w:t>）</w:t>
            </w:r>
          </w:p>
          <w:p>
            <w:pPr>
              <w:spacing w:line="240" w:lineRule="exact"/>
              <w:rPr>
                <w:b/>
                <w:color w:val="000000" w:themeColor="text1"/>
                <w:sz w:val="28"/>
                <w:szCs w:val="28"/>
              </w:rPr>
            </w:pPr>
            <w:r>
              <w:rPr>
                <w:rFonts w:hint="eastAsia" w:ascii="宋体" w:hAnsi="宋体" w:cs="宋体"/>
                <w:b/>
                <w:color w:val="000000" w:themeColor="text1"/>
                <w:sz w:val="22"/>
                <w:szCs w:val="22"/>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OHSMS持续的符合性及运行的有效性，以及与认证范围的持续相关性和适宜性及自我完善机制等。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3"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b/>
                <w:color w:val="000000" w:themeColor="text1"/>
                <w:spacing w:val="-10"/>
                <w:szCs w:val="21"/>
              </w:rPr>
              <w:t>□</w:t>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t>■</w:t>
            </w:r>
            <w:r>
              <w:rPr>
                <w:rFonts w:hint="eastAsia"/>
                <w:b/>
                <w:color w:val="000000" w:themeColor="text1"/>
              </w:rPr>
              <w:t>审核范围变更（减小，去掉波纹管），</w:t>
            </w:r>
          </w:p>
          <w:p>
            <w:pPr>
              <w:spacing w:line="320" w:lineRule="exact"/>
              <w:rPr>
                <w:rFonts w:ascii="宋体" w:hAnsi="宋体"/>
                <w:b/>
                <w:color w:val="000000" w:themeColor="text1"/>
                <w:u w:val="single"/>
              </w:rPr>
            </w:pPr>
            <w:r>
              <w:rPr>
                <w:rFonts w:ascii="宋体" w:hAnsi="宋体"/>
                <w:b/>
                <w:color w:val="000000" w:themeColor="text1"/>
              </w:rPr>
              <w:t>QMS:</w:t>
            </w:r>
            <w:r>
              <w:rPr>
                <w:sz w:val="20"/>
              </w:rPr>
              <w:t>声测管的生产</w:t>
            </w:r>
          </w:p>
          <w:p>
            <w:pPr>
              <w:spacing w:line="320" w:lineRule="exact"/>
              <w:rPr>
                <w:rFonts w:ascii="宋体" w:hAnsi="宋体"/>
                <w:b/>
                <w:color w:val="000000" w:themeColor="text1"/>
                <w:u w:val="single"/>
                <w:lang w:val="en-GB"/>
              </w:rPr>
            </w:pPr>
            <w:r>
              <w:rPr>
                <w:rFonts w:hint="eastAsia" w:ascii="宋体" w:hAnsi="宋体"/>
                <w:b/>
                <w:color w:val="000000" w:themeColor="text1"/>
              </w:rPr>
              <w:t>EMS</w:t>
            </w:r>
            <w:r>
              <w:rPr>
                <w:rFonts w:hint="eastAsia" w:ascii="宋体" w:hAnsi="宋体"/>
                <w:b/>
                <w:color w:val="000000" w:themeColor="text1"/>
                <w:lang w:val="en-GB"/>
              </w:rPr>
              <w:t>:</w:t>
            </w:r>
          </w:p>
          <w:p>
            <w:pPr>
              <w:spacing w:line="320" w:lineRule="exact"/>
              <w:rPr>
                <w:b/>
                <w:color w:val="000000" w:themeColor="text1"/>
                <w:spacing w:val="-10"/>
                <w:sz w:val="22"/>
                <w:szCs w:val="22"/>
              </w:rPr>
            </w:pPr>
            <w:r>
              <w:rPr>
                <w:rFonts w:hint="eastAsia" w:ascii="宋体" w:hAnsi="宋体"/>
                <w:b/>
                <w:color w:val="000000" w:themeColor="text1"/>
              </w:rPr>
              <w:t>OHSMS</w:t>
            </w:r>
            <w:r>
              <w:rPr>
                <w:rFonts w:hint="eastAsia" w:ascii="宋体" w:hAnsi="宋体"/>
                <w:b/>
                <w:color w:val="000000" w:themeColor="text1"/>
                <w:lang w:val="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7"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6"/>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rFonts w:hint="eastAsia" w:ascii="方正仿宋简体" w:eastAsia="方正仿宋简体"/>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pStyle w:val="2"/>
      </w:pP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rFonts w:hint="eastAsia"/>
          <w:b/>
          <w:color w:val="000000" w:themeColor="text1"/>
        </w:rPr>
      </w:pPr>
      <w:r>
        <w:rPr>
          <w:rFonts w:hint="eastAsia"/>
          <w:b/>
          <w:color w:val="000000" w:themeColor="text1"/>
        </w:rPr>
        <w:t>一般不符合报告在</w:t>
      </w:r>
      <w:r>
        <w:rPr>
          <w:rFonts w:hint="eastAsia"/>
          <w:b/>
          <w:color w:val="000000" w:themeColor="text1"/>
          <w:u w:val="single"/>
        </w:rPr>
        <w:t>30</w:t>
      </w:r>
      <w:r>
        <w:rPr>
          <w:rFonts w:hint="eastAsia"/>
          <w:b/>
          <w:color w:val="000000" w:themeColor="text1"/>
        </w:rPr>
        <w:t>天/严重不符合在</w:t>
      </w:r>
      <w:r>
        <w:rPr>
          <w:rFonts w:hint="eastAsia"/>
          <w:b/>
          <w:color w:val="000000" w:themeColor="text1"/>
          <w:u w:val="single"/>
        </w:rPr>
        <w:t>60</w:t>
      </w:r>
      <w:r>
        <w:rPr>
          <w:rFonts w:hint="eastAsia"/>
          <w:b/>
          <w:color w:val="000000" w:themeColor="text1"/>
        </w:rPr>
        <w:t>天针对不符合原因制定并实施纠正措施。验证方式见不符合项报告。</w:t>
      </w:r>
    </w:p>
    <w:p>
      <w:pPr>
        <w:pStyle w:val="2"/>
      </w:pPr>
    </w:p>
    <w:p>
      <w:pPr>
        <w:spacing w:beforeLines="50" w:afterLines="50"/>
        <w:ind w:left="1" w:leftChars="-405" w:hanging="851" w:hangingChars="326"/>
        <w:rPr>
          <w:b/>
          <w:color w:val="000000" w:themeColor="text1"/>
          <w:sz w:val="16"/>
          <w:szCs w:val="16"/>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：无</w:t>
      </w:r>
    </w:p>
    <w:p>
      <w:pPr>
        <w:snapToGrid w:val="0"/>
        <w:rPr>
          <w:b/>
          <w:bCs/>
          <w:color w:val="000000" w:themeColor="text1"/>
          <w:szCs w:val="28"/>
          <w:u w:val="single"/>
        </w:rPr>
      </w:pPr>
    </w:p>
    <w:p>
      <w:pPr>
        <w:snapToGrid w:val="0"/>
        <w:spacing w:afterLines="50" w:line="360" w:lineRule="auto"/>
        <w:ind w:left="1" w:leftChars="-405" w:hanging="851" w:hangingChars="326"/>
        <w:rPr>
          <w:rFonts w:hint="eastAsia"/>
          <w:b/>
          <w:color w:val="000000" w:themeColor="text1"/>
          <w:sz w:val="26"/>
          <w:szCs w:val="26"/>
        </w:rPr>
      </w:pPr>
      <w:r>
        <w:rPr>
          <w:rFonts w:hint="eastAsia"/>
          <w:b/>
          <w:color w:val="000000" w:themeColor="text1"/>
          <w:sz w:val="26"/>
          <w:szCs w:val="26"/>
        </w:rPr>
        <w:t>十四、审核组签字</w:t>
      </w:r>
    </w:p>
    <w:p>
      <w:pPr>
        <w:pStyle w:val="2"/>
        <w:rPr>
          <w:rFonts w:hint="eastAsia"/>
        </w:rPr>
      </w:pPr>
    </w:p>
    <w:p>
      <w:pPr>
        <w:pStyle w:val="2"/>
      </w:pPr>
      <w:r>
        <w:drawing>
          <wp:anchor distT="0" distB="0" distL="114300" distR="114300" simplePos="0" relativeHeight="251660288" behindDoc="0" locked="0" layoutInCell="1" allowOverlap="1">
            <wp:simplePos x="0" y="0"/>
            <wp:positionH relativeFrom="column">
              <wp:posOffset>1160145</wp:posOffset>
            </wp:positionH>
            <wp:positionV relativeFrom="paragraph">
              <wp:posOffset>151765</wp:posOffset>
            </wp:positionV>
            <wp:extent cx="411480" cy="325120"/>
            <wp:effectExtent l="19050" t="0" r="7620" b="0"/>
            <wp:wrapNone/>
            <wp:docPr id="3" name="图片 1"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C:\Users\Administrator\Desktop\签名.jpg"/>
                    <pic:cNvPicPr>
                      <a:picLocks noChangeAspect="1" noChangeArrowheads="1"/>
                    </pic:cNvPicPr>
                  </pic:nvPicPr>
                  <pic:blipFill>
                    <a:blip r:embed="rId6" cstate="print"/>
                    <a:srcRect/>
                    <a:stretch>
                      <a:fillRect/>
                    </a:stretch>
                  </pic:blipFill>
                  <pic:spPr>
                    <a:xfrm>
                      <a:off x="0" y="0"/>
                      <a:ext cx="411480" cy="325120"/>
                    </a:xfrm>
                    <a:prstGeom prst="rect">
                      <a:avLst/>
                    </a:prstGeom>
                    <a:noFill/>
                    <a:ln w="9525">
                      <a:noFill/>
                      <a:miter lim="800000"/>
                      <a:headEnd/>
                      <a:tailEnd/>
                    </a:ln>
                  </pic:spPr>
                </pic:pic>
              </a:graphicData>
            </a:graphic>
          </wp:anchor>
        </w:drawing>
      </w:r>
    </w:p>
    <w:p>
      <w:pPr>
        <w:snapToGrid w:val="0"/>
        <w:spacing w:afterLines="50" w:line="360" w:lineRule="auto"/>
        <w:ind w:left="1" w:leftChars="-32" w:hanging="68" w:hangingChars="26"/>
        <w:rPr>
          <w:b/>
          <w:color w:val="000000" w:themeColor="text1"/>
          <w:sz w:val="26"/>
          <w:szCs w:val="26"/>
        </w:rPr>
      </w:pPr>
      <w:r>
        <w:rPr>
          <w:rFonts w:hint="eastAsia"/>
          <w:b/>
          <w:color w:val="000000" w:themeColor="text1"/>
          <w:sz w:val="26"/>
          <w:szCs w:val="26"/>
        </w:rPr>
        <w:t>审核组组长（签名）：</w:t>
      </w:r>
    </w:p>
    <w:p>
      <w:pPr>
        <w:snapToGrid w:val="0"/>
        <w:spacing w:beforeLines="50" w:line="360" w:lineRule="auto"/>
        <w:ind w:firstLine="527" w:firstLineChars="250"/>
        <w:rPr>
          <w:b/>
          <w:color w:val="000000" w:themeColor="text1"/>
        </w:rPr>
      </w:pPr>
    </w:p>
    <w:p>
      <w:pPr>
        <w:snapToGrid w:val="0"/>
        <w:spacing w:afterLines="50" w:line="360" w:lineRule="auto"/>
        <w:ind w:left="1" w:leftChars="-32" w:hanging="68" w:hangingChars="26"/>
        <w:rPr>
          <w:b/>
          <w:color w:val="000000" w:themeColor="text1"/>
          <w:sz w:val="26"/>
          <w:szCs w:val="26"/>
        </w:rPr>
      </w:pPr>
      <w:r>
        <w:rPr>
          <w:rFonts w:hint="eastAsia"/>
          <w:b/>
          <w:color w:val="000000" w:themeColor="text1"/>
          <w:sz w:val="26"/>
          <w:szCs w:val="26"/>
        </w:rPr>
        <w:drawing>
          <wp:anchor distT="0" distB="0" distL="114300" distR="114300" simplePos="0" relativeHeight="251662336" behindDoc="0" locked="0" layoutInCell="1" allowOverlap="1">
            <wp:simplePos x="0" y="0"/>
            <wp:positionH relativeFrom="column">
              <wp:posOffset>1513205</wp:posOffset>
            </wp:positionH>
            <wp:positionV relativeFrom="paragraph">
              <wp:posOffset>-76200</wp:posOffset>
            </wp:positionV>
            <wp:extent cx="590550" cy="429260"/>
            <wp:effectExtent l="19050" t="0" r="0" b="0"/>
            <wp:wrapNone/>
            <wp:docPr id="30" name="图片 1" descr="C:\Users\24309\AppData\Local\Temp\WeChat Files\5990baca09647c352f1321b31faa90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1" descr="C:\Users\24309\AppData\Local\Temp\WeChat Files\5990baca09647c352f1321b31faa90a.jpg"/>
                    <pic:cNvPicPr>
                      <a:picLocks noChangeAspect="1" noChangeArrowheads="1"/>
                    </pic:cNvPicPr>
                  </pic:nvPicPr>
                  <pic:blipFill>
                    <a:blip r:embed="rId7" cstate="print"/>
                    <a:srcRect/>
                    <a:stretch>
                      <a:fillRect/>
                    </a:stretch>
                  </pic:blipFill>
                  <pic:spPr>
                    <a:xfrm>
                      <a:off x="0" y="0"/>
                      <a:ext cx="590550" cy="429260"/>
                    </a:xfrm>
                    <a:prstGeom prst="rect">
                      <a:avLst/>
                    </a:prstGeom>
                    <a:noFill/>
                    <a:ln w="9525">
                      <a:noFill/>
                      <a:miter lim="800000"/>
                      <a:headEnd/>
                      <a:tailEnd/>
                    </a:ln>
                  </pic:spPr>
                </pic:pic>
              </a:graphicData>
            </a:graphic>
          </wp:anchor>
        </w:drawing>
      </w:r>
      <w:r>
        <w:rPr>
          <w:rFonts w:hint="eastAsia"/>
          <w:b/>
          <w:color w:val="000000" w:themeColor="text1"/>
          <w:sz w:val="26"/>
          <w:szCs w:val="26"/>
        </w:rPr>
        <w:t>审核组组员（签名）：</w:t>
      </w:r>
    </w:p>
    <w:p>
      <w:pPr>
        <w:snapToGrid w:val="0"/>
        <w:spacing w:line="360" w:lineRule="auto"/>
        <w:ind w:firstLine="3080" w:firstLineChars="1461"/>
        <w:rPr>
          <w:b/>
          <w:color w:val="000000" w:themeColor="text1"/>
          <w:sz w:val="16"/>
          <w:szCs w:val="16"/>
        </w:rPr>
      </w:pPr>
      <w:r>
        <w:rPr>
          <w:rFonts w:hint="eastAsia"/>
          <w:b/>
          <w:color w:val="000000" w:themeColor="text1"/>
        </w:rPr>
        <w:t>日期      2020</w:t>
      </w:r>
      <w:r>
        <w:rPr>
          <w:rFonts w:hint="eastAsia" w:asciiTheme="minorEastAsia" w:hAnsiTheme="minorEastAsia" w:eastAsiaTheme="minorEastAsia"/>
          <w:b/>
          <w:color w:val="000000" w:themeColor="text1"/>
        </w:rPr>
        <w:t>年 11 月 15 日</w:t>
      </w:r>
    </w:p>
    <w:p>
      <w:pPr>
        <w:spacing w:beforeLines="50"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Lines="50" w:afterLines="50" w:line="360" w:lineRule="auto"/>
        <w:ind w:leftChars="-202" w:hanging="424" w:hangingChars="201"/>
        <w:rPr>
          <w:b/>
          <w:color w:val="000000" w:themeColor="text1"/>
          <w:sz w:val="26"/>
          <w:szCs w:val="26"/>
        </w:rPr>
      </w:pPr>
      <w:r>
        <w:rPr>
          <w:rFonts w:hint="eastAsia"/>
          <w:b/>
          <w:bCs/>
          <w:color w:val="000000" w:themeColor="text1"/>
          <w:szCs w:val="21"/>
        </w:rPr>
        <w:t>1.  审核中发现的■</w:t>
      </w:r>
      <w:r>
        <w:rPr>
          <w:rFonts w:hint="eastAsia"/>
          <w:b/>
          <w:color w:val="000000" w:themeColor="text1"/>
          <w:szCs w:val="21"/>
        </w:rPr>
        <w:t>QMS(  1 )个一般不符合，( 0 )个严重不符合，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Lines="50"/>
        <w:ind w:firstLine="422" w:firstLineChars="200"/>
        <w:rPr>
          <w:b/>
          <w:color w:val="000000" w:themeColor="text1"/>
          <w:szCs w:val="21"/>
        </w:rPr>
      </w:pPr>
    </w:p>
    <w:p>
      <w:pPr>
        <w:spacing w:afterLines="50"/>
        <w:ind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Lines="100" w:afterLines="50"/>
        <w:rPr>
          <w:b/>
          <w:color w:val="000000" w:themeColor="text1"/>
          <w:szCs w:val="21"/>
        </w:rPr>
      </w:pPr>
      <w:r>
        <w:rPr>
          <w:rFonts w:hint="eastAsia"/>
          <w:b/>
          <w:color w:val="000000" w:themeColor="text1"/>
          <w:szCs w:val="21"/>
        </w:rPr>
        <w:drawing>
          <wp:anchor distT="0" distB="0" distL="114300" distR="114300" simplePos="0" relativeHeight="251664384" behindDoc="0" locked="0" layoutInCell="1" allowOverlap="1">
            <wp:simplePos x="0" y="0"/>
            <wp:positionH relativeFrom="column">
              <wp:posOffset>850265</wp:posOffset>
            </wp:positionH>
            <wp:positionV relativeFrom="paragraph">
              <wp:posOffset>108585</wp:posOffset>
            </wp:positionV>
            <wp:extent cx="407670" cy="325120"/>
            <wp:effectExtent l="19050" t="0" r="0" b="0"/>
            <wp:wrapNone/>
            <wp:docPr id="4" name="图片 1"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C:\Users\Administrator\Desktop\签名.jpg"/>
                    <pic:cNvPicPr>
                      <a:picLocks noChangeAspect="1" noChangeArrowheads="1"/>
                    </pic:cNvPicPr>
                  </pic:nvPicPr>
                  <pic:blipFill>
                    <a:blip r:embed="rId6" cstate="print"/>
                    <a:srcRect/>
                    <a:stretch>
                      <a:fillRect/>
                    </a:stretch>
                  </pic:blipFill>
                  <pic:spPr>
                    <a:xfrm>
                      <a:off x="0" y="0"/>
                      <a:ext cx="407670" cy="325120"/>
                    </a:xfrm>
                    <a:prstGeom prst="rect">
                      <a:avLst/>
                    </a:prstGeom>
                    <a:noFill/>
                    <a:ln w="9525">
                      <a:noFill/>
                      <a:miter lim="800000"/>
                      <a:headEnd/>
                      <a:tailEnd/>
                    </a:ln>
                  </pic:spPr>
                </pic:pic>
              </a:graphicData>
            </a:graphic>
          </wp:anchor>
        </w:drawing>
      </w:r>
      <w:r>
        <w:rPr>
          <w:rFonts w:hint="eastAsia"/>
          <w:b/>
          <w:color w:val="000000" w:themeColor="text1"/>
          <w:szCs w:val="21"/>
        </w:rPr>
        <w:t>组长签字:                               日期:       年    月    日</w:t>
      </w:r>
    </w:p>
    <w:p>
      <w:pPr>
        <w:spacing w:line="360" w:lineRule="auto"/>
        <w:ind w:leftChars="-405" w:hanging="850"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pPr>
        <w:numPr>
          <w:ilvl w:val="0"/>
          <w:numId w:val="4"/>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Chars="-405" w:hanging="850" w:hangingChars="403"/>
        <w:rPr>
          <w:b/>
          <w:color w:val="000000" w:themeColor="text1"/>
        </w:rPr>
      </w:pPr>
      <w:r>
        <w:rPr>
          <w:rFonts w:hint="eastAsia"/>
          <w:b/>
          <w:color w:val="000000" w:themeColor="text1"/>
        </w:rPr>
        <w:t>认证评定负责人：                  日期：   年   月    日</w:t>
      </w:r>
    </w:p>
    <w:p>
      <w:pPr>
        <w:numPr>
          <w:ilvl w:val="0"/>
          <w:numId w:val="4"/>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Chars="-405" w:hanging="850" w:hangingChars="403"/>
        <w:rPr>
          <w:b/>
          <w:color w:val="000000" w:themeColor="text1"/>
        </w:rPr>
      </w:pPr>
      <w:r>
        <w:rPr>
          <w:rFonts w:hint="eastAsia"/>
          <w:b/>
          <w:color w:val="000000" w:themeColor="text1"/>
        </w:rPr>
        <w:t>批准人（总经理）：                 日期：   年   月    日</w:t>
      </w:r>
    </w:p>
    <w:p>
      <w:pPr>
        <w:snapToGrid w:val="0"/>
        <w:spacing w:line="360" w:lineRule="auto"/>
        <w:ind w:left="202" w:leftChars="-405" w:hanging="1052"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snapToGrid w:val="0"/>
        <w:spacing w:line="360" w:lineRule="auto"/>
        <w:ind w:leftChars="-405" w:hanging="850" w:hangingChars="403"/>
        <w:rPr>
          <w:b/>
          <w:color w:val="000000" w:themeColor="text1"/>
          <w:szCs w:val="21"/>
          <w:u w:val="single"/>
        </w:rPr>
      </w:pPr>
    </w:p>
    <w:p>
      <w:pPr>
        <w:snapToGrid w:val="0"/>
        <w:spacing w:line="360" w:lineRule="auto"/>
        <w:ind w:leftChars="-405" w:hanging="850" w:hangingChars="403"/>
        <w:rPr>
          <w:b/>
          <w:color w:val="000000" w:themeColor="text1"/>
          <w:szCs w:val="21"/>
          <w:u w:val="single"/>
        </w:rPr>
      </w:pPr>
    </w:p>
    <w:p>
      <w:pPr>
        <w:snapToGrid w:val="0"/>
        <w:spacing w:line="360" w:lineRule="auto"/>
        <w:ind w:left="738" w:hanging="738" w:hangingChars="350"/>
        <w:rPr>
          <w:b/>
          <w:color w:val="000000" w:themeColor="text1"/>
          <w:szCs w:val="21"/>
          <w:u w:val="single"/>
        </w:rPr>
      </w:pPr>
    </w:p>
    <w:p>
      <w:pPr>
        <w:spacing w:beforeLines="50" w:afterLines="50" w:line="240" w:lineRule="exact"/>
        <w:ind w:left="1" w:leftChars="-405" w:hanging="851"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Lines="20"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Lines="20"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Lines="50"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二十、填表说明：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 w:name="Wingdings 2">
    <w:altName w:val="Wingdings"/>
    <w:panose1 w:val="05020102010507070707"/>
    <w:charset w:val="02"/>
    <w:family w:val="roman"/>
    <w:pitch w:val="default"/>
    <w:sig w:usb0="00000000" w:usb1="00000000" w:usb2="00000000" w:usb3="00000000" w:csb0="80000000" w:csb1="00000000"/>
  </w:font>
  <w:font w:name="楷体_GB2312">
    <w:altName w:val="楷体"/>
    <w:panose1 w:val="00000000000000000000"/>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bookmarkStart w:id="21" w:name="_Hlk8555230"/>
    <w:r>
      <w:pict>
        <v:shape id="_x0000_s2049" o:spid="_x0000_s2049" o:spt="202" type="#_x0000_t202" style="position:absolute;left:0pt;margin-left:249.35pt;margin-top:5.25pt;height:20.2pt;width:164.1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7"/>
        <w:rFonts w:hint="default"/>
      </w:rPr>
      <w:t>北京国标联合认证有限公司</w:t>
    </w:r>
    <w:r>
      <w:rPr>
        <w:rStyle w:val="17"/>
        <w:rFonts w:hint="default"/>
      </w:rPr>
      <w:tab/>
    </w:r>
    <w:r>
      <w:rPr>
        <w:rStyle w:val="17"/>
        <w:rFonts w:hint="default"/>
      </w:rPr>
      <w:tab/>
    </w:r>
    <w:r>
      <w:rPr>
        <w:rStyle w:val="17"/>
        <w:rFonts w:hint="default"/>
      </w:rPr>
      <w:tab/>
    </w:r>
    <w:bookmarkEnd w:id="21"/>
  </w:p>
  <w:p>
    <w:pPr>
      <w:pStyle w:val="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1B8CD"/>
    <w:multiLevelType w:val="singleLevel"/>
    <w:tmpl w:val="07C1B8CD"/>
    <w:lvl w:ilvl="0" w:tentative="0">
      <w:start w:val="3"/>
      <w:numFmt w:val="decimal"/>
      <w:suff w:val="space"/>
      <w:lvlText w:val="%1."/>
      <w:lvlJc w:val="left"/>
    </w:lvl>
  </w:abstractNum>
  <w:abstractNum w:abstractNumId="1">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7B21F3"/>
    <w:rsid w:val="000C21CF"/>
    <w:rsid w:val="007B21F3"/>
    <w:rsid w:val="008320F1"/>
    <w:rsid w:val="258E5D08"/>
    <w:rsid w:val="37FD52C8"/>
    <w:rsid w:val="41F86217"/>
    <w:rsid w:val="440C006D"/>
    <w:rsid w:val="5BC7661D"/>
    <w:rsid w:val="5E6275C8"/>
    <w:rsid w:val="703E2B0A"/>
    <w:rsid w:val="71D672E1"/>
    <w:rsid w:val="7206070F"/>
    <w:rsid w:val="7460255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semiHidden/>
    <w:unhideWhenUsed/>
    <w:qFormat/>
    <w:uiPriority w:val="99"/>
    <w:rPr>
      <w:color w:val="0000FF"/>
      <w:u w:val="single"/>
    </w:rPr>
  </w:style>
  <w:style w:type="paragraph" w:customStyle="1" w:styleId="11">
    <w:name w:val="表格文字"/>
    <w:basedOn w:val="1"/>
    <w:qFormat/>
    <w:uiPriority w:val="0"/>
    <w:pPr>
      <w:spacing w:before="25" w:after="25"/>
    </w:pPr>
    <w:rPr>
      <w:bCs/>
      <w:spacing w:val="10"/>
    </w:rPr>
  </w:style>
  <w:style w:type="paragraph" w:styleId="12">
    <w:name w:val="List Paragraph"/>
    <w:basedOn w:val="1"/>
    <w:qFormat/>
    <w:uiPriority w:val="34"/>
    <w:pPr>
      <w:ind w:firstLine="420" w:firstLineChars="200"/>
    </w:pPr>
  </w:style>
  <w:style w:type="character" w:customStyle="1" w:styleId="13">
    <w:name w:val="页眉 Char1"/>
    <w:basedOn w:val="9"/>
    <w:link w:val="5"/>
    <w:qFormat/>
    <w:uiPriority w:val="99"/>
    <w:rPr>
      <w:rFonts w:ascii="Times New Roman" w:hAnsi="Times New Roman" w:eastAsia="宋体" w:cs="Times New Roman"/>
      <w:sz w:val="18"/>
      <w:szCs w:val="18"/>
    </w:rPr>
  </w:style>
  <w:style w:type="character" w:customStyle="1" w:styleId="14">
    <w:name w:val="页脚 Char"/>
    <w:basedOn w:val="9"/>
    <w:link w:val="4"/>
    <w:qFormat/>
    <w:uiPriority w:val="99"/>
    <w:rPr>
      <w:rFonts w:ascii="Times New Roman" w:hAnsi="Times New Roman" w:eastAsia="宋体" w:cs="Times New Roman"/>
      <w:sz w:val="18"/>
      <w:szCs w:val="18"/>
    </w:rPr>
  </w:style>
  <w:style w:type="character" w:customStyle="1" w:styleId="15">
    <w:name w:val="批注框文本 Char"/>
    <w:basedOn w:val="9"/>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11</Pages>
  <Words>1258</Words>
  <Characters>7175</Characters>
  <Lines>59</Lines>
  <Paragraphs>16</Paragraphs>
  <TotalTime>11</TotalTime>
  <ScaleCrop>false</ScaleCrop>
  <LinksUpToDate>false</LinksUpToDate>
  <CharactersWithSpaces>8417</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张</cp:lastModifiedBy>
  <cp:lastPrinted>2019-05-13T03:19:00Z</cp:lastPrinted>
  <dcterms:modified xsi:type="dcterms:W3CDTF">2020-11-23T05:57:48Z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