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彤博士健康产业河北有限公司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李丽英</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范雅彬</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Q:03.04.01,03.04.02</w:t>
            </w:r>
          </w:p>
          <w:p>
            <w:pPr>
              <w:spacing w:line="240" w:lineRule="exact"/>
              <w:jc w:val="center"/>
              <w:rPr>
                <w:b/>
                <w:color w:val="000000"/>
                <w:sz w:val="20"/>
                <w:szCs w:val="20"/>
              </w:rPr>
            </w:pPr>
            <w:r>
              <w:rPr>
                <w:b/>
                <w:color w:val="000000"/>
                <w:sz w:val="20"/>
                <w:szCs w:val="20"/>
              </w:rPr>
              <w:t>E:03.04.01,03.04.02</w:t>
            </w:r>
          </w:p>
          <w:p>
            <w:pPr>
              <w:spacing w:line="240" w:lineRule="exact"/>
              <w:jc w:val="center"/>
              <w:rPr>
                <w:b/>
                <w:color w:val="000000"/>
                <w:sz w:val="20"/>
                <w:szCs w:val="20"/>
              </w:rPr>
            </w:pPr>
            <w:r>
              <w:rPr>
                <w:b/>
                <w:color w:val="000000"/>
                <w:sz w:val="20"/>
                <w:szCs w:val="20"/>
              </w:rPr>
              <w:t>O:03.04.01,03.04.02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bookmarkStart w:id="8" w:name="S勾选Add1"/>
      <w:r>
        <w:rPr>
          <w:rFonts w:hint="eastAsia" w:ascii="宋体" w:hAnsi="宋体"/>
          <w:b/>
          <w:color w:val="000000"/>
          <w:sz w:val="20"/>
          <w:szCs w:val="20"/>
          <w:lang w:val="de-DE"/>
        </w:rPr>
        <w:t>■</w:t>
      </w:r>
      <w:bookmarkEnd w:id="8"/>
      <w:r>
        <w:rPr>
          <w:rFonts w:hint="eastAsia" w:ascii="宋体" w:hAnsi="宋体"/>
          <w:b/>
          <w:sz w:val="21"/>
          <w:szCs w:val="21"/>
        </w:rPr>
        <w:t>GB/T45001-2020</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 1</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spacing w:line="300" w:lineRule="auto"/>
        <w:ind w:left="420" w:leftChars="200"/>
        <w:rPr>
          <w:rFonts w:ascii="宋体"/>
          <w:b/>
          <w:color w:val="000000"/>
          <w:spacing w:val="-4"/>
          <w:sz w:val="20"/>
          <w:szCs w:val="20"/>
        </w:rPr>
      </w:pP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jc w:val="left"/>
              <w:rPr>
                <w:rFonts w:hint="eastAsia" w:ascii="宋体" w:hAnsi="宋体" w:eastAsia="宋体" w:cs="Times New Roman"/>
                <w:b/>
                <w:color w:val="000000"/>
                <w:sz w:val="20"/>
                <w:szCs w:val="20"/>
              </w:rPr>
            </w:pPr>
            <w:bookmarkStart w:id="9" w:name="组织名称Add2"/>
            <w:r>
              <w:rPr>
                <w:rFonts w:hint="eastAsia" w:ascii="宋体" w:hAnsi="宋体" w:eastAsia="宋体" w:cs="Times New Roman"/>
                <w:b/>
                <w:color w:val="000000"/>
                <w:sz w:val="20"/>
                <w:szCs w:val="20"/>
              </w:rPr>
              <w:t>彤博士健康产业河北有限公司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jc w:val="center"/>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石家庄高新区兴安大街153号</w:t>
            </w:r>
            <w:r>
              <w:rPr>
                <w:rFonts w:hint="eastAsia" w:ascii="宋体" w:hAnsi="宋体" w:eastAsia="宋体" w:cs="Times New Roman"/>
                <w:b/>
                <w:color w:val="000000"/>
                <w:sz w:val="20"/>
                <w:szCs w:val="20"/>
                <w:lang w:val="en-US" w:eastAsia="zh-CN"/>
              </w:rPr>
              <w:t xml:space="preserve"> </w:t>
            </w:r>
          </w:p>
        </w:tc>
        <w:tc>
          <w:tcPr>
            <w:tcW w:w="1242" w:type="dxa"/>
            <w:vMerge w:val="restart"/>
            <w:vAlign w:val="center"/>
          </w:tcPr>
          <w:p>
            <w:pPr>
              <w:spacing w:line="280" w:lineRule="exact"/>
              <w:jc w:val="center"/>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邮编</w:t>
            </w:r>
          </w:p>
        </w:tc>
        <w:tc>
          <w:tcPr>
            <w:tcW w:w="1558" w:type="dxa"/>
          </w:tcPr>
          <w:p>
            <w:pPr>
              <w:spacing w:line="280" w:lineRule="exact"/>
              <w:jc w:val="center"/>
              <w:rPr>
                <w:rFonts w:hint="eastAsia" w:ascii="宋体" w:hAnsi="宋体" w:eastAsia="宋体" w:cs="Times New Roman"/>
                <w:b/>
                <w:color w:val="000000"/>
                <w:sz w:val="20"/>
                <w:szCs w:val="20"/>
              </w:rPr>
            </w:pPr>
            <w:bookmarkStart w:id="10" w:name="注册邮编"/>
            <w:r>
              <w:rPr>
                <w:rFonts w:hint="eastAsia" w:ascii="宋体" w:hAnsi="宋体" w:eastAsia="宋体" w:cs="Times New Roman"/>
                <w:b/>
                <w:color w:val="000000"/>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jc w:val="center"/>
              <w:rPr>
                <w:rFonts w:hint="eastAsia" w:ascii="宋体" w:hAnsi="宋体" w:eastAsia="宋体" w:cs="Times New Roman"/>
                <w:b/>
                <w:color w:val="000000"/>
                <w:sz w:val="20"/>
                <w:szCs w:val="20"/>
              </w:rPr>
            </w:pPr>
            <w:bookmarkStart w:id="11" w:name="经营地址"/>
            <w:bookmarkEnd w:id="11"/>
            <w:r>
              <w:rPr>
                <w:rFonts w:hint="eastAsia" w:ascii="宋体" w:hAnsi="宋体" w:eastAsia="宋体" w:cs="Times New Roman"/>
                <w:b/>
                <w:color w:val="000000"/>
                <w:sz w:val="20"/>
                <w:szCs w:val="20"/>
              </w:rPr>
              <w:t>石家庄高新区兴安大街153号</w:t>
            </w:r>
          </w:p>
        </w:tc>
        <w:tc>
          <w:tcPr>
            <w:tcW w:w="1242" w:type="dxa"/>
            <w:vMerge w:val="continue"/>
            <w:vAlign w:val="center"/>
          </w:tcPr>
          <w:p>
            <w:pPr>
              <w:spacing w:line="280" w:lineRule="exact"/>
              <w:jc w:val="center"/>
              <w:rPr>
                <w:rFonts w:hint="eastAsia" w:ascii="宋体" w:hAnsi="宋体" w:eastAsia="宋体" w:cs="Times New Roman"/>
                <w:b/>
                <w:color w:val="000000"/>
                <w:sz w:val="20"/>
                <w:szCs w:val="20"/>
              </w:rPr>
            </w:pPr>
          </w:p>
        </w:tc>
        <w:tc>
          <w:tcPr>
            <w:tcW w:w="1558" w:type="dxa"/>
          </w:tcPr>
          <w:p>
            <w:pPr>
              <w:spacing w:line="280" w:lineRule="exact"/>
              <w:jc w:val="center"/>
              <w:rPr>
                <w:rFonts w:hint="eastAsia" w:ascii="宋体" w:hAnsi="宋体" w:eastAsia="宋体" w:cs="Times New Roman"/>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jc w:val="center"/>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石家庄高新区兴安大街153号</w:t>
            </w:r>
            <w:r>
              <w:rPr>
                <w:rFonts w:hint="eastAsia" w:ascii="宋体" w:hAnsi="宋体" w:eastAsia="宋体" w:cs="Times New Roman"/>
                <w:b/>
                <w:color w:val="000000"/>
                <w:sz w:val="20"/>
                <w:szCs w:val="20"/>
                <w:lang w:val="en-US" w:eastAsia="zh-CN"/>
              </w:rPr>
              <w:t xml:space="preserve"> </w:t>
            </w:r>
          </w:p>
        </w:tc>
        <w:tc>
          <w:tcPr>
            <w:tcW w:w="1242" w:type="dxa"/>
            <w:vMerge w:val="continue"/>
            <w:vAlign w:val="center"/>
          </w:tcPr>
          <w:p>
            <w:pPr>
              <w:spacing w:line="280" w:lineRule="exact"/>
              <w:jc w:val="center"/>
              <w:rPr>
                <w:rFonts w:hint="eastAsia" w:ascii="宋体" w:hAnsi="宋体" w:eastAsia="宋体" w:cs="Times New Roman"/>
                <w:b/>
                <w:color w:val="000000"/>
                <w:sz w:val="20"/>
                <w:szCs w:val="20"/>
              </w:rPr>
            </w:pPr>
          </w:p>
        </w:tc>
        <w:tc>
          <w:tcPr>
            <w:tcW w:w="1558" w:type="dxa"/>
          </w:tcPr>
          <w:p>
            <w:pPr>
              <w:spacing w:line="280" w:lineRule="exact"/>
              <w:jc w:val="center"/>
              <w:rPr>
                <w:rFonts w:hint="eastAsia" w:ascii="宋体" w:hAnsi="宋体" w:eastAsia="宋体" w:cs="Times New Roman"/>
                <w:b/>
                <w:color w:val="000000"/>
                <w:sz w:val="20"/>
                <w:szCs w:val="20"/>
              </w:rPr>
            </w:pPr>
            <w:bookmarkStart w:id="13" w:name="生产邮编Add1"/>
            <w:r>
              <w:rPr>
                <w:rFonts w:hint="eastAsia" w:ascii="宋体" w:hAnsi="宋体" w:eastAsia="宋体" w:cs="Times New Roman"/>
                <w:b/>
                <w:color w:val="000000"/>
                <w:sz w:val="20"/>
                <w:szCs w:val="20"/>
              </w:rPr>
              <w:t>050000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卓林双</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18033765825</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卓林双</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卓林双</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lang w:val="en-US" w:eastAsia="zh-CN"/>
              </w:rPr>
              <w:t>2020年4月10日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Times New Roman" w:hAnsi="Times New Roman" w:eastAsia="宋体" w:cs="Times New Roman"/>
                <w:sz w:val="20"/>
              </w:rPr>
            </w:pPr>
            <w:bookmarkStart w:id="20" w:name="审核范围"/>
            <w:r>
              <w:rPr>
                <w:rFonts w:hint="eastAsia" w:ascii="Times New Roman" w:hAnsi="Times New Roman" w:eastAsia="宋体" w:cs="Times New Roman"/>
                <w:sz w:val="20"/>
                <w:lang w:val="en-US" w:eastAsia="zh-CN"/>
              </w:rPr>
              <w:t>原申请认证范围</w:t>
            </w:r>
            <w:r>
              <w:rPr>
                <w:rFonts w:ascii="Times New Roman" w:hAnsi="Times New Roman" w:eastAsia="宋体" w:cs="Times New Roman"/>
                <w:sz w:val="20"/>
              </w:rPr>
              <w:t>Q：许可范围内的食用油、油脂及其制品的生产及销售</w:t>
            </w:r>
          </w:p>
          <w:p>
            <w:pPr>
              <w:rPr>
                <w:rFonts w:ascii="Times New Roman" w:hAnsi="Times New Roman" w:eastAsia="宋体" w:cs="Times New Roman"/>
                <w:sz w:val="20"/>
              </w:rPr>
            </w:pPr>
            <w:r>
              <w:rPr>
                <w:rFonts w:ascii="Times New Roman" w:hAnsi="Times New Roman" w:eastAsia="宋体" w:cs="Times New Roman"/>
                <w:sz w:val="20"/>
              </w:rPr>
              <w:t>E：许可范围内的食用油、油脂及其制品的生产及销售所涉及场所的相关环境管理活动</w:t>
            </w:r>
          </w:p>
          <w:p>
            <w:pPr>
              <w:rPr>
                <w:rFonts w:ascii="Times New Roman" w:hAnsi="Times New Roman" w:eastAsia="宋体" w:cs="Times New Roman"/>
                <w:sz w:val="20"/>
              </w:rPr>
            </w:pPr>
            <w:r>
              <w:rPr>
                <w:rFonts w:ascii="Times New Roman" w:hAnsi="Times New Roman" w:eastAsia="宋体" w:cs="Times New Roman"/>
                <w:sz w:val="20"/>
              </w:rPr>
              <w:t>O：许可范围内的食用油、油脂及其制品的生产及销售所涉及场所的相关职业健康安全管理活动</w:t>
            </w:r>
            <w:bookmarkEnd w:id="20"/>
          </w:p>
          <w:p>
            <w:pPr>
              <w:rPr>
                <w:rFonts w:ascii="Times New Roman" w:hAnsi="Times New Roman" w:eastAsia="宋体" w:cs="Times New Roman"/>
                <w:sz w:val="20"/>
              </w:rPr>
            </w:pPr>
          </w:p>
          <w:p>
            <w:pPr>
              <w:rPr>
                <w:rFonts w:hint="eastAsia" w:ascii="Times New Roman" w:hAnsi="Times New Roman" w:eastAsia="宋体" w:cs="Times New Roman"/>
                <w:sz w:val="20"/>
                <w:lang w:eastAsia="zh-CN"/>
              </w:rPr>
            </w:pPr>
            <w:r>
              <w:rPr>
                <w:rFonts w:hint="eastAsia" w:ascii="Times New Roman" w:hAnsi="Times New Roman" w:eastAsia="宋体" w:cs="Times New Roman"/>
                <w:sz w:val="20"/>
                <w:lang w:val="en-US" w:eastAsia="zh-CN"/>
              </w:rPr>
              <w:t>申请</w:t>
            </w:r>
            <w:r>
              <w:rPr>
                <w:rFonts w:hint="eastAsia" w:ascii="Times New Roman" w:hAnsi="Times New Roman" w:eastAsia="宋体" w:cs="Times New Roman"/>
                <w:sz w:val="20"/>
              </w:rPr>
              <w:t>变更为</w:t>
            </w:r>
            <w:r>
              <w:rPr>
                <w:rFonts w:hint="eastAsia" w:ascii="Times New Roman" w:hAnsi="Times New Roman" w:eastAsia="宋体" w:cs="Times New Roman"/>
                <w:sz w:val="20"/>
                <w:lang w:eastAsia="zh-CN"/>
              </w:rPr>
              <w:t>：</w:t>
            </w:r>
          </w:p>
          <w:p>
            <w:pPr>
              <w:rPr>
                <w:sz w:val="20"/>
              </w:rPr>
            </w:pPr>
            <w:r>
              <w:rPr>
                <w:rFonts w:ascii="Times New Roman" w:hAnsi="Times New Roman" w:eastAsia="宋体" w:cs="Times New Roman"/>
                <w:sz w:val="20"/>
              </w:rPr>
              <w:t>Q：许可范围内的饮</w:t>
            </w:r>
            <w:r>
              <w:rPr>
                <w:sz w:val="20"/>
              </w:rPr>
              <w:t>料、食用油、油脂及其制品、调味品的生产及销售</w:t>
            </w:r>
          </w:p>
          <w:p>
            <w:pPr>
              <w:rPr>
                <w:sz w:val="20"/>
              </w:rPr>
            </w:pPr>
            <w:r>
              <w:rPr>
                <w:sz w:val="20"/>
              </w:rPr>
              <w:t>E：许可范围内的饮料、食用油、油脂及其制品、调味品的生产及销售所涉及场所的相关环境管理活动</w:t>
            </w:r>
          </w:p>
          <w:p>
            <w:pPr>
              <w:pStyle w:val="2"/>
              <w:rPr>
                <w:rFonts w:ascii="宋体" w:hAnsi="宋体"/>
                <w:b/>
                <w:color w:val="000000"/>
                <w:sz w:val="20"/>
                <w:szCs w:val="20"/>
              </w:rPr>
            </w:pPr>
            <w:r>
              <w:rPr>
                <w:sz w:val="20"/>
              </w:rPr>
              <w:t>O：许可范围内的饮料、食用油、油脂及其制品、调味品的生产及销售所涉及场所的相关职业健康安全管理活动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Q：03.04.01;03.04.02</w:t>
            </w:r>
          </w:p>
          <w:p>
            <w:pPr>
              <w:spacing w:line="280" w:lineRule="exact"/>
              <w:rPr>
                <w:rFonts w:ascii="宋体"/>
                <w:b/>
                <w:color w:val="000000"/>
                <w:sz w:val="20"/>
                <w:szCs w:val="20"/>
              </w:rPr>
            </w:pPr>
            <w:r>
              <w:rPr>
                <w:rFonts w:ascii="宋体"/>
                <w:b/>
                <w:color w:val="000000"/>
                <w:sz w:val="20"/>
                <w:szCs w:val="20"/>
              </w:rPr>
              <w:t>E：03.04.01;03.04.02</w:t>
            </w:r>
          </w:p>
          <w:p>
            <w:pPr>
              <w:spacing w:line="280" w:lineRule="exact"/>
              <w:rPr>
                <w:rFonts w:ascii="宋体"/>
                <w:b/>
                <w:color w:val="000000"/>
                <w:sz w:val="20"/>
                <w:szCs w:val="20"/>
              </w:rPr>
            </w:pPr>
            <w:r>
              <w:rPr>
                <w:rFonts w:ascii="宋体"/>
                <w:b/>
                <w:color w:val="000000"/>
                <w:sz w:val="20"/>
                <w:szCs w:val="20"/>
              </w:rPr>
              <w:t>O：03.04.01;03.04.02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u w:val="single"/>
          <w:lang w:val="en-US" w:eastAsia="zh-CN"/>
        </w:rPr>
        <w:t xml:space="preserve">      </w:t>
      </w:r>
      <w:r>
        <w:rPr>
          <w:rFonts w:hint="eastAsia" w:ascii="宋体" w:hAnsi="宋体"/>
          <w:b/>
          <w:color w:val="000000"/>
          <w:sz w:val="20"/>
          <w:szCs w:val="20"/>
          <w:lang w:val="en-US" w:eastAsia="zh-CN"/>
        </w:rPr>
        <w:t>，</w:t>
      </w: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w:t>
      </w:r>
      <w:r>
        <w:rPr>
          <w:rFonts w:hint="eastAsia" w:ascii="宋体" w:hAnsi="宋体"/>
          <w:b/>
          <w:color w:val="000000"/>
          <w:sz w:val="20"/>
          <w:szCs w:val="20"/>
          <w:lang w:val="en-US"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本次评审的文件评审的文件</w:t>
      </w:r>
      <w:r>
        <w:rPr>
          <w:rFonts w:hint="eastAsia" w:ascii="宋体" w:hAnsi="宋体"/>
          <w:b/>
          <w:color w:val="000000"/>
          <w:sz w:val="20"/>
          <w:szCs w:val="20"/>
          <w:u w:val="single"/>
        </w:rPr>
        <w:t>有</w:t>
      </w:r>
      <w:r>
        <w:rPr>
          <w:rFonts w:hint="eastAsia" w:ascii="宋体" w:hAnsi="宋体"/>
          <w:b/>
          <w:color w:val="000000"/>
          <w:sz w:val="20"/>
          <w:szCs w:val="20"/>
          <w:u w:val="single"/>
          <w:lang w:val="en-US" w:eastAsia="zh-CN"/>
        </w:rPr>
        <w:t>手册、程序文件、内审文件、管理评审、环境因素、不可接受风险等文</w:t>
      </w:r>
      <w:r>
        <w:rPr>
          <w:rFonts w:hint="eastAsia" w:ascii="宋体" w:hAnsi="宋体"/>
          <w:b/>
          <w:color w:val="000000"/>
          <w:sz w:val="20"/>
          <w:szCs w:val="20"/>
          <w:lang w:val="en-US" w:eastAsia="zh-CN"/>
        </w:rPr>
        <w:t>件，</w:t>
      </w:r>
      <w:r>
        <w:rPr>
          <w:rFonts w:hint="eastAsia" w:ascii="宋体" w:hAnsi="宋体"/>
          <w:b/>
          <w:color w:val="000000"/>
          <w:sz w:val="20"/>
          <w:szCs w:val="20"/>
        </w:rPr>
        <w:t>其他信息都是从电话</w:t>
      </w:r>
      <w:r>
        <w:rPr>
          <w:rFonts w:hint="eastAsia" w:ascii="宋体" w:hAnsi="宋体"/>
          <w:b/>
          <w:color w:val="000000"/>
          <w:sz w:val="20"/>
          <w:szCs w:val="20"/>
          <w:lang w:eastAsia="zh-CN"/>
        </w:rPr>
        <w:t>、</w:t>
      </w:r>
      <w:r>
        <w:rPr>
          <w:rFonts w:hint="eastAsia" w:ascii="宋体" w:hAnsi="宋体"/>
          <w:b/>
          <w:color w:val="000000"/>
          <w:sz w:val="20"/>
          <w:szCs w:val="20"/>
          <w:lang w:val="en-US" w:eastAsia="zh-CN"/>
        </w:rPr>
        <w:t>网络</w:t>
      </w:r>
      <w:r>
        <w:rPr>
          <w:rFonts w:hint="eastAsia" w:ascii="宋体" w:hAnsi="宋体"/>
          <w:b/>
          <w:color w:val="000000"/>
          <w:sz w:val="20"/>
          <w:szCs w:val="20"/>
        </w:rPr>
        <w:t>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r>
        <w:rPr>
          <w:rFonts w:hint="eastAsia" w:ascii="宋体" w:hAnsi="宋体"/>
          <w:b/>
          <w:color w:val="000000"/>
          <w:spacing w:val="-4"/>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部门：生产部（含车间）、质量部、营销部、管理层、研发部、行政部（含财务）、采购部（库房）</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办公室、车间、库房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sz w:val="20"/>
              </w:rPr>
            </w:pPr>
            <w:r>
              <w:rPr>
                <w:rFonts w:ascii="Times New Roman" w:hAnsi="Times New Roman" w:eastAsia="宋体" w:cs="Times New Roman"/>
                <w:sz w:val="20"/>
              </w:rPr>
              <w:t>Q：许可范围内的饮</w:t>
            </w:r>
            <w:r>
              <w:rPr>
                <w:sz w:val="20"/>
              </w:rPr>
              <w:t>料、食用油、油脂及其制品、调味品的生产及销售</w:t>
            </w:r>
          </w:p>
          <w:p>
            <w:pPr>
              <w:rPr>
                <w:sz w:val="20"/>
              </w:rPr>
            </w:pPr>
            <w:r>
              <w:rPr>
                <w:sz w:val="20"/>
              </w:rPr>
              <w:t>E：许可范围内的饮料、食用油、油脂及其制品、调味品的生产及销售所涉及场所的相关环境管理活动</w:t>
            </w:r>
          </w:p>
          <w:p>
            <w:pPr>
              <w:tabs>
                <w:tab w:val="left" w:pos="360"/>
              </w:tabs>
              <w:ind w:left="360" w:hanging="360"/>
              <w:rPr>
                <w:rFonts w:ascii="宋体"/>
                <w:b/>
                <w:color w:val="000000"/>
                <w:sz w:val="20"/>
                <w:szCs w:val="20"/>
              </w:rPr>
            </w:pPr>
            <w:r>
              <w:rPr>
                <w:sz w:val="20"/>
              </w:rPr>
              <w:t>O：许可范围内的饮料、食用油、油脂及其制品、调味品的生产及销售所涉及场所的相关职业健康安全管理活动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rPr>
              <w:t>生产部（含车间）、质量部、营销部、管理层、研发部、行政部（含财务）、采购部（库房）</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w:t>
      </w:r>
      <w:r>
        <w:rPr>
          <w:rFonts w:hint="eastAsia" w:ascii="宋体" w:hAnsi="宋体"/>
          <w:b/>
          <w:color w:val="000000"/>
          <w:sz w:val="22"/>
          <w:szCs w:val="22"/>
        </w:rPr>
        <w:t>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固体饮料（粉</w:t>
            </w:r>
            <w:r>
              <w:rPr>
                <w:rFonts w:hint="eastAsia" w:asciiTheme="minorEastAsia" w:hAnsiTheme="minorEastAsia" w:eastAsiaTheme="minorEastAsia" w:cstheme="minorEastAsia"/>
                <w:b/>
                <w:color w:val="auto"/>
                <w:szCs w:val="21"/>
                <w:lang w:eastAsia="zh-CN"/>
              </w:rPr>
              <w:t>末</w:t>
            </w:r>
            <w:r>
              <w:rPr>
                <w:rFonts w:hint="eastAsia" w:asciiTheme="minorEastAsia" w:hAnsiTheme="minorEastAsia" w:eastAsiaTheme="minorEastAsia" w:cstheme="minorEastAsia"/>
                <w:b/>
                <w:color w:val="auto"/>
                <w:szCs w:val="21"/>
              </w:rPr>
              <w:t>）工艺流程：</w:t>
            </w:r>
          </w:p>
          <w:p>
            <w:pPr>
              <w:pStyle w:val="2"/>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原辅料验收</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称量</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总混</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内包装</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外包装</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入库</w:t>
            </w:r>
          </w:p>
          <w:p>
            <w:pPr>
              <w:pStyle w:val="2"/>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固体饮料（颗粒）工艺流程：</w:t>
            </w:r>
          </w:p>
          <w:p>
            <w:pPr>
              <w:pStyle w:val="2"/>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原辅料验收</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称量</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制粒</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干燥</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整粒</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总混</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内包装</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外包装</w:t>
            </w:r>
            <w:r>
              <w:rPr>
                <w:rFonts w:ascii="Arial" w:hAnsi="Arial" w:cs="Arial" w:eastAsiaTheme="minorEastAsia"/>
                <w:bCs w:val="0"/>
                <w:color w:val="auto"/>
                <w:szCs w:val="21"/>
              </w:rPr>
              <w:t>→</w:t>
            </w:r>
            <w:r>
              <w:rPr>
                <w:rFonts w:hint="eastAsia" w:asciiTheme="minorEastAsia" w:hAnsiTheme="minorEastAsia" w:eastAsiaTheme="minorEastAsia" w:cstheme="minorEastAsia"/>
                <w:bCs w:val="0"/>
                <w:color w:val="auto"/>
                <w:szCs w:val="21"/>
              </w:rPr>
              <w:t>入库</w:t>
            </w:r>
          </w:p>
          <w:p>
            <w:pPr>
              <w:pStyle w:val="2"/>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油滴剂工艺流程</w:t>
            </w:r>
          </w:p>
          <w:p>
            <w:pPr>
              <w:pStyle w:val="2"/>
              <w:rPr>
                <w:rFonts w:hint="eastAsia" w:asciiTheme="minorEastAsia" w:hAnsiTheme="minorEastAsia" w:eastAsiaTheme="minorEastAsia" w:cstheme="minorEastAsia"/>
                <w:bCs w:val="0"/>
                <w:spacing w:val="0"/>
                <w:kern w:val="2"/>
                <w:sz w:val="21"/>
                <w:szCs w:val="21"/>
                <w:lang w:val="en-US" w:eastAsia="zh-CN" w:bidi="ar-SA"/>
              </w:rPr>
            </w:pPr>
            <w:r>
              <w:rPr>
                <w:rFonts w:hint="eastAsia"/>
                <w:color w:val="auto"/>
              </w:rPr>
              <w:t>原料油验收</w:t>
            </w:r>
            <w:r>
              <w:rPr>
                <w:rFonts w:ascii="Arial" w:hAnsi="Arial" w:cs="Arial" w:eastAsiaTheme="minorEastAsia"/>
                <w:bCs w:val="0"/>
                <w:color w:val="auto"/>
                <w:szCs w:val="21"/>
              </w:rPr>
              <w:t>→</w:t>
            </w:r>
            <w:r>
              <w:rPr>
                <w:rFonts w:hint="eastAsia" w:eastAsiaTheme="minorEastAsia"/>
                <w:color w:val="auto"/>
                <w:lang w:eastAsia="zh-CN"/>
              </w:rPr>
              <w:t>配置</w:t>
            </w:r>
            <w:r>
              <w:rPr>
                <w:rFonts w:ascii="Arial" w:hAnsi="Arial" w:cs="Arial" w:eastAsiaTheme="minorEastAsia"/>
                <w:bCs w:val="0"/>
                <w:color w:val="auto"/>
                <w:szCs w:val="21"/>
              </w:rPr>
              <w:t>→</w:t>
            </w:r>
            <w:r>
              <w:rPr>
                <w:rFonts w:hint="eastAsia"/>
                <w:color w:val="auto"/>
              </w:rPr>
              <w:t>灌装</w:t>
            </w:r>
            <w:r>
              <w:rPr>
                <w:rFonts w:ascii="Arial" w:hAnsi="Arial" w:cs="Arial" w:eastAsiaTheme="minorEastAsia"/>
                <w:bCs w:val="0"/>
                <w:color w:val="auto"/>
                <w:szCs w:val="21"/>
              </w:rPr>
              <w:t>→</w:t>
            </w:r>
            <w:r>
              <w:rPr>
                <w:rFonts w:hint="eastAsia"/>
                <w:color w:val="auto"/>
              </w:rPr>
              <w:t>灯检</w:t>
            </w:r>
            <w:r>
              <w:rPr>
                <w:rFonts w:ascii="Arial" w:hAnsi="Arial" w:cs="Arial" w:eastAsiaTheme="minorEastAsia"/>
                <w:bCs w:val="0"/>
                <w:color w:val="auto"/>
                <w:szCs w:val="21"/>
              </w:rPr>
              <w:t>→</w:t>
            </w:r>
            <w:r>
              <w:rPr>
                <w:rFonts w:hint="eastAsia"/>
                <w:color w:val="auto"/>
              </w:rPr>
              <w:t>外包装</w:t>
            </w:r>
            <w:r>
              <w:rPr>
                <w:rFonts w:ascii="Arial" w:hAnsi="Arial" w:cs="Arial" w:eastAsiaTheme="minorEastAsia"/>
                <w:bCs w:val="0"/>
                <w:color w:val="auto"/>
                <w:szCs w:val="21"/>
              </w:rPr>
              <w:t>→</w:t>
            </w:r>
            <w:r>
              <w:rPr>
                <w:rFonts w:hint="eastAsia"/>
                <w:color w:val="auto"/>
              </w:rPr>
              <w:t>检查</w:t>
            </w:r>
            <w:r>
              <w:rPr>
                <w:rFonts w:ascii="Arial" w:hAnsi="Arial" w:cs="Arial" w:eastAsiaTheme="minorEastAsia"/>
                <w:bCs w:val="0"/>
                <w:color w:val="auto"/>
                <w:szCs w:val="21"/>
              </w:rPr>
              <w:t>→</w:t>
            </w:r>
            <w:r>
              <w:rPr>
                <w:rFonts w:hint="eastAsia"/>
                <w:color w:val="auto"/>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Cs w:val="21"/>
              </w:rPr>
              <w:t>称量、总混、内包装</w:t>
            </w:r>
            <w:r>
              <w:rPr>
                <w:rFonts w:hint="eastAsia" w:asciiTheme="minorEastAsia" w:hAnsiTheme="minorEastAsia" w:eastAsiaTheme="minorEastAsia" w:cstheme="minorEastAsia"/>
                <w:color w:val="auto"/>
                <w:szCs w:val="21"/>
                <w:lang w:eastAsia="zh-CN"/>
              </w:rPr>
              <w:t>、</w:t>
            </w:r>
            <w:r>
              <w:rPr>
                <w:rFonts w:hint="eastAsia"/>
                <w:color w:val="auto"/>
              </w:rPr>
              <w:t>灌</w:t>
            </w:r>
            <w:r>
              <w:rPr>
                <w:rFonts w:hint="eastAsia"/>
                <w:color w:val="auto"/>
                <w:lang w:eastAsia="zh-CN"/>
              </w:rPr>
              <w:t>封</w:t>
            </w:r>
            <w:r>
              <w:rPr>
                <w:rFonts w:hint="eastAsia" w:asciiTheme="minorEastAsia" w:hAnsiTheme="minorEastAsia" w:eastAsiaTheme="minorEastAsia" w:cstheme="minorEastAsia"/>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产品配方卡</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物料称量标准操作规程</w:t>
            </w:r>
            <w:r>
              <w:rPr>
                <w:rFonts w:hint="eastAsia" w:asciiTheme="minorEastAsia" w:hAnsiTheme="minorEastAsia" w:eastAsiaTheme="minorEastAsia" w:cstheme="minorEastAsia"/>
                <w:color w:val="auto"/>
                <w:szCs w:val="21"/>
                <w:lang w:eastAsia="zh-CN"/>
              </w:rPr>
              <w:t>》、《总混工序标准操作规程》、《颗粒(粉剂)分装岗位操作标准操作规程》、《灌封岗位标准操作规程》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Cs w:val="21"/>
                <w:lang w:eastAsia="zh-CN"/>
              </w:rPr>
              <w:t>固体饮料的</w:t>
            </w:r>
            <w:r>
              <w:rPr>
                <w:rFonts w:hint="eastAsia" w:asciiTheme="minorEastAsia" w:hAnsiTheme="minorEastAsia" w:eastAsiaTheme="minorEastAsia" w:cstheme="minorEastAsia"/>
                <w:color w:val="auto"/>
                <w:szCs w:val="21"/>
              </w:rPr>
              <w:t>总混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pStyle w:val="2"/>
              <w:rPr>
                <w:rFonts w:asciiTheme="minorEastAsia" w:hAnsiTheme="minorEastAsia" w:eastAsiaTheme="minorEastAsia" w:cstheme="minorEastAsia"/>
                <w:color w:val="auto"/>
                <w:szCs w:val="21"/>
              </w:rPr>
            </w:pPr>
            <w:r>
              <w:rPr>
                <w:rFonts w:hint="eastAsia" w:ascii="宋体" w:hAnsi="宋体"/>
                <w:color w:val="000000"/>
                <w:sz w:val="20"/>
                <w:szCs w:val="20"/>
              </w:rPr>
              <w:t>外包过程有：</w:t>
            </w:r>
            <w:r>
              <w:rPr>
                <w:rFonts w:hint="eastAsia" w:asciiTheme="minorEastAsia" w:hAnsiTheme="minorEastAsia" w:eastAsiaTheme="minorEastAsia" w:cstheme="minorEastAsia"/>
                <w:color w:val="auto"/>
                <w:szCs w:val="21"/>
              </w:rPr>
              <w:t>外包过程</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：运输，见《运输协议》</w:t>
            </w:r>
          </w:p>
          <w:p>
            <w:pPr>
              <w:pStyle w:val="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甲方:彤博士健康产业河北有限公司</w:t>
            </w:r>
          </w:p>
          <w:p>
            <w:pPr>
              <w:pStyle w:val="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乙方:高新区盛博货运服务部</w:t>
            </w:r>
          </w:p>
          <w:p>
            <w:pPr>
              <w:pStyle w:val="2"/>
              <w:rPr>
                <w:rFonts w:ascii="宋体"/>
                <w:color w:val="000000"/>
                <w:spacing w:val="-10"/>
                <w:sz w:val="20"/>
                <w:szCs w:val="20"/>
              </w:rPr>
            </w:pPr>
            <w:r>
              <w:rPr>
                <w:rFonts w:hint="eastAsia" w:asciiTheme="minorEastAsia" w:hAnsiTheme="minorEastAsia" w:eastAsiaTheme="minorEastAsia" w:cstheme="minorEastAsia"/>
                <w:color w:val="auto"/>
                <w:szCs w:val="21"/>
                <w:lang w:val="en-US" w:eastAsia="zh-CN"/>
              </w:rPr>
              <w:t>外包过程2：危废协议、固废协议，详见行政部检查表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lang w:val="en-US" w:eastAsia="zh-CN"/>
              </w:rPr>
              <w:t>液体灌装机、灯检机、配料罐、湿法混合制粒机、摇摆式颗粒剂、洗瓶机、二维运动混合机、敞开式金属检测机、SK系列条状包装机、激光打码机底子计重台秤等设备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Theme="minorEastAsia" w:hAnsiTheme="minorEastAsia" w:eastAsiaTheme="minorEastAsia" w:cstheme="minorEastAsia"/>
                <w:sz w:val="21"/>
                <w:szCs w:val="21"/>
                <w:lang w:val="en-US" w:eastAsia="zh-CN"/>
              </w:rPr>
              <w:t>电子天平、电表、计重台秤、分析天平、生物显微镜、凯氏定氮仪、阿贝折射仪等。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Theme="minorEastAsia" w:hAnsiTheme="minorEastAsia" w:eastAsiaTheme="minorEastAsia" w:cstheme="minorEastAsia"/>
                <w:sz w:val="21"/>
                <w:szCs w:val="21"/>
                <w:lang w:val="en-US" w:eastAsia="zh-CN"/>
              </w:rPr>
              <w:t>公司租赁了办公场所及生产场所，场所合理布局并安装了适宜的空调净化系统，除化水制备系统、压缩空气系统、生产食品级产品的各种工作环境，如隔离、消毒、温湿度、灯光照射、称重等，满足生产需要</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cs="宋体" w:asciiTheme="minorEastAsia" w:hAnsiTheme="minorEastAsia"/>
                <w:sz w:val="21"/>
                <w:szCs w:val="21"/>
              </w:rPr>
              <w:t>1）火灾、爆炸的发生；2）电消耗；3）固废（含危险固废）的排放；4）粉尘排放， 5）噪音</w:t>
            </w:r>
            <w:r>
              <w:rPr>
                <w:rFonts w:hint="eastAsia" w:cs="宋体" w:asciiTheme="minorEastAsia" w:hAnsiTheme="minorEastAsia"/>
                <w:sz w:val="21"/>
                <w:szCs w:val="21"/>
                <w:lang w:val="en-US" w:eastAsia="zh-CN"/>
              </w:rPr>
              <w:t>等</w:t>
            </w:r>
            <w:r>
              <w:rPr>
                <w:rFonts w:hint="eastAsia" w:cs="宋体" w:asciiTheme="minorEastAsia" w:hAnsiTheme="minorEastAsia"/>
                <w:sz w:val="21"/>
                <w:szCs w:val="21"/>
              </w:rPr>
              <w:t>重要环境因素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宋体"/>
                <w:sz w:val="21"/>
                <w:szCs w:val="21"/>
              </w:rPr>
              <w:t>火灾事故的发生、触电、噪声伤害、意外伤害、物体打击等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A3"/>
            </w:r>
            <w:r>
              <w:rPr>
                <w:rFonts w:hint="eastAsia" w:ascii="宋体"/>
                <w:color w:val="000000"/>
                <w:sz w:val="20"/>
                <w:szCs w:val="20"/>
              </w:rPr>
              <w:t>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39</w:t>
            </w:r>
            <w:r>
              <w:rPr>
                <w:rFonts w:hint="eastAsia" w:ascii="宋体"/>
                <w:color w:val="000000"/>
                <w:sz w:val="20"/>
                <w:szCs w:val="20"/>
              </w:rPr>
              <w:t>人，其中管理人员：</w:t>
            </w:r>
            <w:r>
              <w:rPr>
                <w:rFonts w:hint="eastAsia" w:ascii="宋体"/>
                <w:color w:val="000000"/>
                <w:sz w:val="20"/>
                <w:szCs w:val="20"/>
                <w:lang w:val="en-US" w:eastAsia="zh-CN"/>
              </w:rPr>
              <w:t>14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增加专业审核员：</w:t>
            </w:r>
            <w:r>
              <w:rPr>
                <w:rFonts w:hint="eastAsia" w:ascii="宋体"/>
                <w:b/>
                <w:color w:val="000000"/>
                <w:szCs w:val="21"/>
                <w:lang w:val="en-US" w:eastAsia="zh-CN"/>
              </w:rPr>
              <w:t>增加专家</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增加审核人日：</w:t>
            </w:r>
            <w:r>
              <w:rPr>
                <w:rFonts w:hint="eastAsia" w:ascii="宋体"/>
                <w:b/>
                <w:color w:val="000000"/>
                <w:szCs w:val="21"/>
                <w:lang w:val="en-US" w:eastAsia="zh-CN"/>
              </w:rPr>
              <w:t>3人日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sym w:font="Wingdings 2" w:char="0052"/>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r>
              <w:rPr>
                <w:rFonts w:hint="eastAsia" w:ascii="宋体"/>
                <w:b/>
                <w:color w:val="000000"/>
                <w:szCs w:val="21"/>
              </w:rPr>
              <w:t>：</w:t>
            </w:r>
            <w:r>
              <w:rPr>
                <w:rFonts w:hint="eastAsia" w:ascii="宋体"/>
                <w:b/>
                <w:color w:val="000000"/>
                <w:szCs w:val="21"/>
                <w:lang w:val="en-US" w:eastAsia="zh-CN"/>
              </w:rPr>
              <w:t>3人日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rPr>
              <w:t>研发部、生产部（含车间）、质量部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含实验室</w:t>
            </w:r>
            <w:r>
              <w:rPr>
                <w:rFonts w:hint="eastAsia" w:ascii="宋体" w:hAnsi="宋体"/>
                <w:b/>
                <w:color w:val="000000"/>
                <w:sz w:val="20"/>
                <w:szCs w:val="20"/>
                <w:lang w:eastAsia="zh-CN"/>
              </w:rPr>
              <w:t>）、</w:t>
            </w:r>
            <w:r>
              <w:rPr>
                <w:rFonts w:hint="eastAsia" w:ascii="宋体" w:hAnsi="宋体"/>
                <w:b/>
                <w:color w:val="000000"/>
                <w:sz w:val="20"/>
                <w:szCs w:val="20"/>
              </w:rPr>
              <w:t>采购部（库房）</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设计、生产、物流及存储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重点审核部门：生产部（含车间）、质量部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含实验室</w:t>
            </w:r>
            <w:r>
              <w:rPr>
                <w:rFonts w:hint="eastAsia" w:ascii="宋体" w:hAnsi="宋体"/>
                <w:b/>
                <w:color w:val="000000"/>
                <w:sz w:val="20"/>
                <w:szCs w:val="20"/>
                <w:lang w:eastAsia="zh-CN"/>
              </w:rPr>
              <w:t>）、</w:t>
            </w:r>
            <w:r>
              <w:rPr>
                <w:rFonts w:hint="eastAsia" w:ascii="宋体" w:hAnsi="宋体"/>
                <w:b/>
                <w:color w:val="000000"/>
                <w:sz w:val="20"/>
                <w:szCs w:val="20"/>
              </w:rPr>
              <w:t>采购部（库房）</w:t>
            </w:r>
          </w:p>
          <w:p>
            <w:pPr>
              <w:spacing w:line="260" w:lineRule="exact"/>
              <w:rPr>
                <w:rFonts w:hint="default" w:ascii="宋体" w:hAns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车间、库房、实验室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rPr>
              <w:t>生产部（含车间）、质量部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含实验室</w:t>
            </w:r>
            <w:r>
              <w:rPr>
                <w:rFonts w:hint="eastAsia" w:ascii="宋体" w:hAnsi="宋体"/>
                <w:b/>
                <w:color w:val="000000"/>
                <w:sz w:val="20"/>
                <w:szCs w:val="20"/>
                <w:lang w:eastAsia="zh-CN"/>
              </w:rPr>
              <w:t>）、</w:t>
            </w:r>
            <w:r>
              <w:rPr>
                <w:rFonts w:hint="eastAsia" w:ascii="宋体" w:hAnsi="宋体"/>
                <w:b/>
                <w:color w:val="000000"/>
                <w:sz w:val="20"/>
                <w:szCs w:val="20"/>
              </w:rPr>
              <w:t>采购部（库房）</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车间、库房、实验室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ascii="Times New Roman" w:hAnsi="Times New Roman"/>
              </w:rPr>
              <w:t>公司的质量、环境和职业健康安全管理体系符合ISO9001</w:t>
            </w:r>
            <w:r>
              <w:rPr>
                <w:rFonts w:hint="eastAsia" w:ascii="Times New Roman" w:hAnsi="Times New Roman"/>
                <w:lang w:eastAsia="zh-CN"/>
              </w:rPr>
              <w:t>：</w:t>
            </w:r>
            <w:r>
              <w:rPr>
                <w:rFonts w:ascii="Times New Roman" w:hAnsi="Times New Roman"/>
              </w:rPr>
              <w:t>2015、ISO14001</w:t>
            </w:r>
            <w:r>
              <w:rPr>
                <w:rFonts w:hint="eastAsia" w:ascii="Times New Roman" w:hAnsi="Times New Roman"/>
                <w:lang w:eastAsia="zh-CN"/>
              </w:rPr>
              <w:t>：</w:t>
            </w:r>
            <w:r>
              <w:rPr>
                <w:rFonts w:ascii="Times New Roman" w:hAnsi="Times New Roman"/>
              </w:rPr>
              <w:t>2015和ISO45001</w:t>
            </w:r>
            <w:r>
              <w:rPr>
                <w:rFonts w:hint="eastAsia" w:ascii="Times New Roman" w:hAnsi="Times New Roman"/>
                <w:lang w:eastAsia="zh-CN"/>
              </w:rPr>
              <w:t>：</w:t>
            </w:r>
            <w:r>
              <w:rPr>
                <w:rFonts w:ascii="Times New Roman" w:hAnsi="Times New Roman"/>
              </w:rPr>
              <w:t>2018标准的要求。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rPr>
          <w:sz w:val="20"/>
          <w:u w:val="single"/>
        </w:rPr>
      </w:pPr>
      <w:r>
        <w:rPr>
          <w:sz w:val="20"/>
          <w:u w:val="single"/>
        </w:rPr>
        <w:t>Q：许可范围内的饮料、食用油、油脂及其制品、调味品的生产及销售</w:t>
      </w:r>
    </w:p>
    <w:p>
      <w:pPr>
        <w:rPr>
          <w:sz w:val="20"/>
          <w:u w:val="single"/>
        </w:rPr>
      </w:pPr>
      <w:r>
        <w:rPr>
          <w:sz w:val="20"/>
          <w:u w:val="single"/>
        </w:rPr>
        <w:t>E：许可范围内的饮料、食用油、油脂及其制品、调味品的生产及销售所涉及场所的相关环境管理活动</w:t>
      </w:r>
    </w:p>
    <w:p>
      <w:pPr>
        <w:spacing w:line="300" w:lineRule="auto"/>
        <w:rPr>
          <w:rFonts w:ascii="宋体" w:hAnsi="宋体"/>
          <w:b/>
          <w:color w:val="000000"/>
          <w:sz w:val="20"/>
          <w:szCs w:val="20"/>
          <w:u w:val="single"/>
        </w:rPr>
      </w:pPr>
      <w:r>
        <w:rPr>
          <w:sz w:val="20"/>
          <w:u w:val="single"/>
        </w:rPr>
        <w:t>O：许可范围内的饮料、食用油、油脂及其制品、调味品的生产及销售所涉及场所的相关职业健康安全管理活动</w:t>
      </w:r>
    </w:p>
    <w:p>
      <w:pPr>
        <w:pStyle w:val="2"/>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360" w:lineRule="auto"/>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688340" cy="332105"/>
            <wp:effectExtent l="0" t="0" r="1651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66000"/>
                    </a:blip>
                    <a:srcRect r="4375" b="6897"/>
                    <a:stretch>
                      <a:fillRect/>
                    </a:stretch>
                  </pic:blipFill>
                  <pic:spPr>
                    <a:xfrm>
                      <a:off x="0" y="0"/>
                      <a:ext cx="688340" cy="332105"/>
                    </a:xfrm>
                    <a:prstGeom prst="rect">
                      <a:avLst/>
                    </a:prstGeom>
                    <a:noFill/>
                    <a:ln>
                      <a:noFill/>
                    </a:ln>
                  </pic:spPr>
                </pic:pic>
              </a:graphicData>
            </a:graphic>
          </wp:inline>
        </w:drawing>
      </w:r>
    </w:p>
    <w:p>
      <w:pPr>
        <w:pStyle w:val="2"/>
      </w:pPr>
      <w:r>
        <w:rPr>
          <w:rFonts w:hint="eastAsia" w:eastAsia="宋体"/>
          <w:b/>
          <w:bCs/>
          <w:color w:val="000000"/>
          <w:sz w:val="16"/>
          <w:szCs w:val="16"/>
          <w:lang w:eastAsia="zh-CN"/>
        </w:rPr>
        <w:drawing>
          <wp:anchor distT="0" distB="0" distL="114300" distR="114300" simplePos="0" relativeHeight="251658240" behindDoc="0" locked="0" layoutInCell="1" allowOverlap="1">
            <wp:simplePos x="0" y="0"/>
            <wp:positionH relativeFrom="column">
              <wp:posOffset>2966720</wp:posOffset>
            </wp:positionH>
            <wp:positionV relativeFrom="paragraph">
              <wp:posOffset>76200</wp:posOffset>
            </wp:positionV>
            <wp:extent cx="419100" cy="628650"/>
            <wp:effectExtent l="0" t="0" r="0" b="0"/>
            <wp:wrapNone/>
            <wp:docPr id="1" name="图片 4" descr="7d0925a8c860b2bdddd9e5e31e1b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7d0925a8c860b2bdddd9e5e31e1b64d"/>
                    <pic:cNvPicPr>
                      <a:picLocks noChangeAspect="1"/>
                    </pic:cNvPicPr>
                  </pic:nvPicPr>
                  <pic:blipFill>
                    <a:blip r:embed="rId7">
                      <a:lum contrast="100000"/>
                    </a:blip>
                    <a:stretch>
                      <a:fillRect/>
                    </a:stretch>
                  </pic:blipFill>
                  <pic:spPr>
                    <a:xfrm rot="-5400000">
                      <a:off x="0" y="0"/>
                      <a:ext cx="419100" cy="628650"/>
                    </a:xfrm>
                    <a:prstGeom prst="rect">
                      <a:avLst/>
                    </a:prstGeom>
                    <a:noFill/>
                    <a:ln>
                      <a:noFill/>
                    </a:ln>
                  </pic:spPr>
                </pic:pic>
              </a:graphicData>
            </a:graphic>
          </wp:anchor>
        </w:drawing>
      </w:r>
    </w:p>
    <w:p>
      <w:pPr>
        <w:spacing w:line="48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685165" cy="292735"/>
            <wp:effectExtent l="0" t="0" r="63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685165" cy="292735"/>
                    </a:xfrm>
                    <a:prstGeom prst="rect">
                      <a:avLst/>
                    </a:prstGeom>
                    <a:noFill/>
                    <a:ln>
                      <a:noFill/>
                    </a:ln>
                  </pic:spPr>
                </pic:pic>
              </a:graphicData>
            </a:graphic>
          </wp:inline>
        </w:drawing>
      </w:r>
      <w:r>
        <w:rPr>
          <w:rFonts w:hint="eastAsia"/>
          <w:lang w:val="en-US" w:eastAsia="zh-CN"/>
        </w:rPr>
        <w:t xml:space="preserve">     </w:t>
      </w:r>
      <w:r>
        <w:rPr>
          <w:rFonts w:hint="eastAsia" w:ascii="宋体" w:hAnsi="宋体"/>
          <w:szCs w:val="21"/>
        </w:rPr>
        <w:t xml:space="preserve"> </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2020年11月28日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91A97"/>
    <w:rsid w:val="03282A3F"/>
    <w:rsid w:val="04360822"/>
    <w:rsid w:val="06521E5F"/>
    <w:rsid w:val="07EA5B25"/>
    <w:rsid w:val="0C5714AF"/>
    <w:rsid w:val="0F693D69"/>
    <w:rsid w:val="107922F2"/>
    <w:rsid w:val="10983E9C"/>
    <w:rsid w:val="168B36E1"/>
    <w:rsid w:val="17D6470E"/>
    <w:rsid w:val="1FE55615"/>
    <w:rsid w:val="25FA4CE9"/>
    <w:rsid w:val="26D06D4E"/>
    <w:rsid w:val="2A6F2CD1"/>
    <w:rsid w:val="2E9B38A1"/>
    <w:rsid w:val="305D347C"/>
    <w:rsid w:val="320F45C8"/>
    <w:rsid w:val="34670642"/>
    <w:rsid w:val="347460D4"/>
    <w:rsid w:val="39714DB3"/>
    <w:rsid w:val="3C9060A9"/>
    <w:rsid w:val="44827E8D"/>
    <w:rsid w:val="474206C3"/>
    <w:rsid w:val="48366EA3"/>
    <w:rsid w:val="4D986D35"/>
    <w:rsid w:val="4E204547"/>
    <w:rsid w:val="4F105823"/>
    <w:rsid w:val="51F80E83"/>
    <w:rsid w:val="54876CF2"/>
    <w:rsid w:val="560B6A32"/>
    <w:rsid w:val="562E1A61"/>
    <w:rsid w:val="59B56D53"/>
    <w:rsid w:val="59DB2796"/>
    <w:rsid w:val="5BF8537D"/>
    <w:rsid w:val="5C9F2ED8"/>
    <w:rsid w:val="600A6B4D"/>
    <w:rsid w:val="646E1FBD"/>
    <w:rsid w:val="67ED49EC"/>
    <w:rsid w:val="70CC1D07"/>
    <w:rsid w:val="72B57761"/>
    <w:rsid w:val="72EB2A5A"/>
    <w:rsid w:val="75F472D4"/>
    <w:rsid w:val="777A5934"/>
    <w:rsid w:val="7CC775FA"/>
    <w:rsid w:val="7DEE1FD9"/>
    <w:rsid w:val="7E6723A4"/>
    <w:rsid w:val="7F45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2020-12-04T08:15:37Z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