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重庆金科金辰酒店管理有限公司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2019-N1QMS-3093566</w:t>
            </w:r>
          </w:p>
          <w:p>
            <w:pPr>
              <w:jc w:val="center"/>
              <w:rPr>
                <w:b/>
                <w:sz w:val="21"/>
                <w:szCs w:val="21"/>
              </w:rPr>
            </w:pPr>
            <w:r>
              <w:rPr>
                <w:b/>
                <w:sz w:val="21"/>
                <w:szCs w:val="21"/>
              </w:rPr>
              <w:t>2019-N1OHSMS-2093566</w:t>
            </w:r>
          </w:p>
        </w:tc>
        <w:tc>
          <w:tcPr>
            <w:tcW w:w="1728" w:type="dxa"/>
            <w:gridSpan w:val="2"/>
            <w:vAlign w:val="center"/>
          </w:tcPr>
          <w:p>
            <w:pPr>
              <w:jc w:val="center"/>
              <w:rPr>
                <w:b/>
                <w:sz w:val="21"/>
                <w:szCs w:val="21"/>
              </w:rPr>
            </w:pPr>
            <w:r>
              <w:rPr>
                <w:b/>
                <w:sz w:val="21"/>
                <w:szCs w:val="21"/>
              </w:rPr>
              <w:t>Q:35.04.02</w:t>
            </w:r>
          </w:p>
          <w:p>
            <w:pPr>
              <w:jc w:val="center"/>
              <w:rPr>
                <w:b/>
                <w:sz w:val="21"/>
                <w:szCs w:val="21"/>
              </w:rPr>
            </w:pPr>
            <w:r>
              <w:rPr>
                <w:b/>
                <w:sz w:val="21"/>
                <w:szCs w:val="21"/>
              </w:rPr>
              <w:t>O:35.04.02</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tc>
        <w:tc>
          <w:tcPr>
            <w:tcW w:w="1699" w:type="dxa"/>
            <w:vAlign w:val="center"/>
          </w:tcPr>
          <w:p>
            <w:pPr>
              <w:jc w:val="center"/>
              <w:rPr>
                <w:b/>
                <w:sz w:val="21"/>
                <w:szCs w:val="21"/>
              </w:rPr>
            </w:pPr>
            <w:r>
              <w:rPr>
                <w:b/>
                <w:sz w:val="21"/>
                <w:szCs w:val="21"/>
              </w:rPr>
              <w:t>2020-N1QMS-1267598</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ascii="宋体" w:hAnsi="宋体" w:eastAsia="宋体" w:cs="宋体"/>
          <w:b/>
          <w:sz w:val="21"/>
          <w:szCs w:val="21"/>
        </w:rPr>
        <w:t>■</w:t>
      </w:r>
      <w:r>
        <w:rPr>
          <w:rFonts w:hint="eastAsia"/>
          <w:b/>
          <w:sz w:val="21"/>
          <w:szCs w:val="21"/>
        </w:rPr>
        <w:t>保持认证注册资格：_</w:t>
      </w:r>
      <w:r>
        <w:rPr>
          <w:rFonts w:hint="eastAsia"/>
          <w:b/>
          <w:sz w:val="21"/>
          <w:szCs w:val="21"/>
          <w:u w:val="single"/>
        </w:rPr>
        <w:t>_</w:t>
      </w:r>
      <w:bookmarkStart w:id="5" w:name="审核类型"/>
      <w:r>
        <w:rPr>
          <w:rFonts w:hint="eastAsia" w:ascii="宋体" w:hAnsi="宋体"/>
          <w:snapToGrid w:val="0"/>
          <w:color w:val="000000"/>
          <w:kern w:val="0"/>
          <w:sz w:val="18"/>
          <w:szCs w:val="21"/>
          <w:u w:val="single"/>
        </w:rPr>
        <w:t>Q:监查1,O:监查1</w:t>
      </w:r>
      <w:bookmarkEnd w:id="5"/>
      <w:r>
        <w:rPr>
          <w:rFonts w:hint="eastAsia"/>
          <w:b/>
          <w:sz w:val="21"/>
          <w:szCs w:val="21"/>
          <w:u w:val="single"/>
        </w:rPr>
        <w:t>__</w:t>
      </w:r>
      <w:r>
        <w:rPr>
          <w:rFonts w:hint="eastAsia"/>
          <w:b/>
          <w:sz w:val="21"/>
          <w:szCs w:val="21"/>
        </w:rPr>
        <w:t>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000000" w:themeColor="text1"/>
                <w:sz w:val="21"/>
              </w:rPr>
              <w:t>重庆金科金辰酒店管理有限公司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color w:val="000000" w:themeColor="text1"/>
                <w:sz w:val="21"/>
                <w:lang w:val="en-US" w:eastAsia="zh-CN"/>
                <w14:textFill>
                  <w14:solidFill>
                    <w14:schemeClr w14:val="tx1"/>
                  </w14:solidFill>
                </w14:textFill>
              </w:rPr>
              <w:t>30人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重庆市北碚区水土技术高新产业园云汉大道5号附401</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400000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重庆市渝北区人和黄山大道1号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400000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重庆市渝北区人和黄山大道1号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400000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李洁</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023-66136666</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聂明林</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艾兆青</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2020年11月26日 上午至2020年11月26日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r>
              <w:rPr>
                <w:rFonts w:hint="eastAsia" w:ascii="宋体" w:hAnsi="宋体"/>
                <w:sz w:val="21"/>
                <w:szCs w:val="21"/>
              </w:rPr>
              <w:t>酒店运营管理（新项目筹备管理、运营管理、餐饮运营管理）</w:t>
            </w:r>
          </w:p>
          <w:p>
            <w:pPr>
              <w:spacing w:line="360" w:lineRule="exact"/>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rFonts w:hint="eastAsia" w:ascii="宋体" w:hAnsi="宋体"/>
                <w:sz w:val="21"/>
                <w:szCs w:val="21"/>
              </w:rPr>
              <w:t xml:space="preserve">酒店运营管理（新项目筹备管理、运营管理、餐饮运营管理）及相关的职业健康安全管理活动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beforeLines="20"/>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p>
            <w:pPr>
              <w:spacing w:beforeLines="20"/>
              <w:rPr>
                <w:rFonts w:hint="eastAsia" w:ascii="宋体" w:hAnsi="宋体"/>
                <w:b/>
                <w:sz w:val="21"/>
                <w:szCs w:val="21"/>
              </w:rPr>
            </w:pPr>
            <w:r>
              <w:rPr>
                <w:rFonts w:hint="eastAsia" w:ascii="宋体" w:hAnsi="宋体"/>
                <w:b/>
                <w:sz w:val="21"/>
                <w:szCs w:val="21"/>
              </w:rPr>
              <w:t>认证标准变更：</w:t>
            </w:r>
          </w:p>
          <w:p>
            <w:pPr>
              <w:spacing w:beforeLines="20"/>
              <w:rPr>
                <w:rFonts w:hint="eastAsia" w:ascii="宋体" w:hAnsi="宋体"/>
                <w:b/>
                <w:sz w:val="21"/>
                <w:szCs w:val="21"/>
              </w:rPr>
            </w:pPr>
            <w:r>
              <w:rPr>
                <w:rFonts w:hint="eastAsia" w:ascii="宋体" w:hAnsi="宋体"/>
                <w:b/>
                <w:sz w:val="21"/>
                <w:szCs w:val="21"/>
              </w:rPr>
              <w:t>原依据标准：O GB/T 28001-2011/OHSAS18001:2007</w:t>
            </w:r>
          </w:p>
          <w:p>
            <w:pPr>
              <w:spacing w:beforeLines="20"/>
              <w:rPr>
                <w:rFonts w:ascii="宋体" w:hAnsi="宋体"/>
                <w:b/>
                <w:sz w:val="21"/>
                <w:szCs w:val="21"/>
              </w:rPr>
            </w:pPr>
            <w:r>
              <w:rPr>
                <w:rFonts w:hint="eastAsia" w:ascii="宋体" w:hAnsi="宋体"/>
                <w:b/>
                <w:sz w:val="21"/>
                <w:szCs w:val="21"/>
              </w:rPr>
              <w:t xml:space="preserve">现依据标准为：O GB/T45001-2020 / ISO45001:2018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Q：35.04.02</w:t>
            </w:r>
          </w:p>
          <w:p>
            <w:pPr>
              <w:spacing w:line="260" w:lineRule="exact"/>
              <w:rPr>
                <w:rFonts w:ascii="宋体" w:hAnsi="宋体"/>
                <w:b/>
                <w:sz w:val="21"/>
                <w:szCs w:val="21"/>
              </w:rPr>
            </w:pPr>
            <w:r>
              <w:rPr>
                <w:rFonts w:ascii="宋体" w:hAnsi="宋体"/>
                <w:b/>
                <w:sz w:val="21"/>
                <w:szCs w:val="21"/>
              </w:rPr>
              <w:t>O：35.04.02</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jc w:val="center"/>
              <w:rPr>
                <w:rFonts w:hint="eastAsia" w:ascii="宋体" w:hAnsi="宋体"/>
                <w:b/>
                <w:sz w:val="21"/>
                <w:szCs w:val="21"/>
              </w:rPr>
            </w:pPr>
            <w:r>
              <w:rPr>
                <w:rFonts w:hint="eastAsia" w:ascii="宋体" w:hAnsi="宋体"/>
                <w:b/>
                <w:sz w:val="21"/>
                <w:szCs w:val="21"/>
                <w:lang w:val="en-US" w:eastAsia="zh-CN"/>
              </w:rPr>
              <w:t>Q:</w:t>
            </w:r>
            <w:r>
              <w:rPr>
                <w:rFonts w:hint="eastAsia" w:ascii="宋体" w:hAnsi="宋体"/>
                <w:b/>
                <w:sz w:val="21"/>
                <w:szCs w:val="21"/>
              </w:rPr>
              <w:t>2022-10-10</w:t>
            </w:r>
          </w:p>
          <w:p>
            <w:pPr>
              <w:spacing w:line="260" w:lineRule="exact"/>
              <w:jc w:val="center"/>
              <w:rPr>
                <w:rFonts w:hint="default" w:ascii="Helvetica" w:hAnsi="Helvetica" w:eastAsia="宋体" w:cs="Helvetica"/>
                <w:i w:val="0"/>
                <w:caps w:val="0"/>
                <w:color w:val="333333"/>
                <w:spacing w:val="0"/>
                <w:sz w:val="16"/>
                <w:szCs w:val="16"/>
                <w:shd w:val="clear" w:fill="FFFFFF"/>
                <w:lang w:val="en-US" w:eastAsia="zh-CN"/>
              </w:rPr>
            </w:pPr>
            <w:r>
              <w:rPr>
                <w:rFonts w:hint="eastAsia" w:ascii="宋体" w:hAnsi="宋体"/>
                <w:b/>
                <w:sz w:val="21"/>
                <w:szCs w:val="21"/>
                <w:lang w:val="en-US" w:eastAsia="zh-CN"/>
              </w:rPr>
              <w:t>O:</w:t>
            </w:r>
            <w:r>
              <w:rPr>
                <w:rFonts w:hint="eastAsia" w:ascii="宋体" w:hAnsi="宋体"/>
                <w:b/>
                <w:sz w:val="21"/>
                <w:szCs w:val="21"/>
              </w:rPr>
              <w:t>2021-03-21</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b/>
                <w:sz w:val="21"/>
                <w:szCs w:val="21"/>
                <w:lang w:val="en-US" w:eastAsia="zh-CN"/>
              </w:rPr>
              <w:t>Q0:</w:t>
            </w:r>
            <w:r>
              <w:rPr>
                <w:rFonts w:hint="eastAsia" w:ascii="宋体" w:hAnsi="宋体"/>
                <w:b/>
                <w:sz w:val="21"/>
                <w:szCs w:val="21"/>
              </w:rPr>
              <w:t>2019年09月25日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u w:val="single"/>
        </w:rPr>
        <w:t>2019年10月01日</w:t>
      </w:r>
      <w:r>
        <w:rPr>
          <w:rFonts w:hint="eastAsia" w:ascii="宋体" w:hAnsi="宋体"/>
          <w:b/>
          <w:sz w:val="21"/>
          <w:szCs w:val="21"/>
        </w:rPr>
        <w:t>至</w:t>
      </w:r>
      <w:r>
        <w:rPr>
          <w:rFonts w:ascii="宋体" w:hAnsi="宋体"/>
          <w:b/>
          <w:sz w:val="21"/>
          <w:szCs w:val="21"/>
          <w:u w:val="single"/>
        </w:rPr>
        <w:t>2020年11月26日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numPr>
          <w:ilvl w:val="0"/>
          <w:numId w:val="1"/>
        </w:numPr>
        <w:tabs>
          <w:tab w:val="left" w:pos="645"/>
        </w:tabs>
        <w:spacing w:before="326" w:beforeLines="100" w:after="163" w:afterLines="50" w:line="360" w:lineRule="exact"/>
        <w:rPr>
          <w:rFonts w:hint="eastAsia"/>
          <w:b/>
          <w:sz w:val="26"/>
          <w:szCs w:val="26"/>
        </w:rPr>
      </w:pPr>
      <w:r>
        <w:rPr>
          <w:rFonts w:hint="eastAsia"/>
          <w:b/>
          <w:sz w:val="26"/>
          <w:szCs w:val="26"/>
        </w:rPr>
        <w:t>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olor w:val="000000" w:themeColor="text1"/>
                <w:sz w:val="21"/>
                <w:szCs w:val="21"/>
              </w:rPr>
              <w:t>组织对内外部因素、相关方需求和期望进行了充分的识别，策划和实施有效。组织确定了体系的边界，基本适用。管理体系全条款适用</w:t>
            </w:r>
            <w:r>
              <w:rPr>
                <w:rFonts w:hint="eastAsia" w:ascii="华文楷体" w:hAnsi="华文楷体" w:eastAsia="华文楷体"/>
                <w:bCs/>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1"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ascii="Times New Roman" w:hAnsi="Times New Roman" w:eastAsia="宋体" w:cs="Times New Roman"/>
                <w:b/>
                <w:color w:val="000000" w:themeColor="text1"/>
                <w:kern w:val="2"/>
                <w:sz w:val="24"/>
                <w:lang w:val="en-US" w:eastAsia="zh-CN" w:bidi="ar-SA"/>
              </w:rPr>
            </w:pP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kern w:val="0"/>
                <w:sz w:val="21"/>
                <w:szCs w:val="21"/>
              </w:rPr>
              <w:t>“</w:t>
            </w:r>
            <w:r>
              <w:rPr>
                <w:rFonts w:hint="eastAsia" w:ascii="宋体" w:hAnsi="宋体" w:cs="宋体"/>
                <w:sz w:val="21"/>
                <w:szCs w:val="21"/>
              </w:rPr>
              <w:t>树立品质意识、创造精益管理、合法经营、预防为主、持续改进</w:t>
            </w:r>
            <w:r>
              <w:rPr>
                <w:rFonts w:hint="eastAsia" w:ascii="宋体" w:hAnsi="宋体" w:cs="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eastAsia="宋体" w:cs="Times New Roman"/>
                <w:color w:val="000000" w:themeColor="text1"/>
                <w:kern w:val="2"/>
                <w:sz w:val="24"/>
                <w:lang w:val="en-US" w:eastAsia="zh-CN" w:bidi="ar-SA"/>
              </w:rPr>
            </w:pPr>
            <w:r>
              <w:rPr>
                <w:rFonts w:hint="eastAsia" w:ascii="宋体" w:hAnsi="宋体"/>
                <w:color w:val="000000" w:themeColor="text1"/>
                <w:sz w:val="21"/>
                <w:szCs w:val="21"/>
              </w:rPr>
              <w:t>制定并实施了相关程序和安全生产管理制度</w:t>
            </w:r>
            <w:r>
              <w:rPr>
                <w:rFonts w:ascii="宋体" w:hAnsi="宋体"/>
                <w:color w:val="000000" w:themeColor="text1"/>
                <w:sz w:val="21"/>
                <w:szCs w:val="21"/>
              </w:rPr>
              <w:t>，</w:t>
            </w:r>
            <w:r>
              <w:rPr>
                <w:rFonts w:hint="eastAsia" w:ascii="宋体" w:hAnsi="宋体"/>
                <w:color w:val="000000" w:themeColor="text1"/>
                <w:sz w:val="21"/>
                <w:szCs w:val="2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质量管理体系过程有：合同评审、采购过程管理、交付验收管理。</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其中关键过程有：成本核算、方案设计过程。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leftChars="0" w:hanging="201" w:hangingChars="100"/>
              <w:rPr>
                <w:rFonts w:ascii="宋体" w:hAnsi="宋体" w:eastAsia="宋体" w:cs="Times New Roman"/>
                <w:b/>
                <w:color w:val="000000" w:themeColor="text1"/>
                <w:kern w:val="2"/>
                <w:sz w:val="24"/>
                <w:szCs w:val="21"/>
                <w:lang w:val="en-US" w:eastAsia="zh-CN" w:bidi="ar-SA"/>
              </w:rPr>
            </w:pPr>
            <w:r>
              <w:rPr>
                <w:b/>
                <w:color w:val="000000" w:themeColor="text1"/>
                <w:sz w:val="20"/>
                <w:szCs w:val="20"/>
              </w:rPr>
              <w:pict>
                <v:shape id="_x0000_s2057" o:spid="_x0000_s2057" o:spt="32" type="#_x0000_t32" style="position:absolute;left:0pt;margin-left:157.9pt;margin-top:12.75pt;height:0pt;width:261.75pt;z-index:25168998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8" o:spid="_x0000_s2058" o:spt="32" type="#_x0000_t32" style="position:absolute;left:0pt;margin-left:55.15pt;margin-top:12.75pt;height:0pt;width:42pt;z-index:25168896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cs="Times New Roman" w:asciiTheme="minorEastAsia" w:hAnsiTheme="minorEastAsia" w:eastAsiaTheme="minorEastAsia"/>
                <w:b/>
                <w:color w:val="000000" w:themeColor="text1"/>
                <w:kern w:val="2"/>
                <w:sz w:val="20"/>
                <w:szCs w:val="20"/>
                <w:lang w:val="en-US" w:eastAsia="zh-CN" w:bidi="ar-SA"/>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eastAsia="宋体" w:cs="Times New Roman"/>
                <w:b/>
                <w:color w:val="000000" w:themeColor="text1"/>
                <w:spacing w:val="-8"/>
                <w:kern w:val="2"/>
                <w:sz w:val="20"/>
                <w:szCs w:val="20"/>
                <w:lang w:val="en-US" w:eastAsia="zh-CN" w:bidi="ar-SA"/>
              </w:rPr>
            </w:pPr>
            <w:r>
              <w:rPr>
                <w:rFonts w:hint="eastAsia" w:ascii="宋体" w:hAnsi="宋体"/>
                <w:color w:val="000000" w:themeColor="text1"/>
                <w:sz w:val="21"/>
                <w:szCs w:val="2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ascii="宋体" w:hAnsi="宋体"/>
                <w:b/>
                <w:color w:val="000000" w:themeColor="text1"/>
                <w:spacing w:val="-12"/>
                <w:sz w:val="20"/>
                <w:szCs w:val="20"/>
              </w:rPr>
              <w:t>8. 法律法规及其他要求</w:t>
            </w:r>
          </w:p>
          <w:p>
            <w:pPr>
              <w:pStyle w:val="13"/>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rFonts w:ascii="Times New Roman" w:hAnsi="Times New Roman" w:eastAsia="宋体" w:cs="Times New Roman"/>
                <w:b/>
                <w:color w:val="000000" w:themeColor="text1"/>
                <w:kern w:val="2"/>
                <w:sz w:val="14"/>
                <w:szCs w:val="1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hint="eastAsia" w:ascii="宋体" w:hAnsi="宋体"/>
                <w:b/>
                <w:color w:val="000000" w:themeColor="text1"/>
                <w:spacing w:val="-4"/>
                <w:sz w:val="20"/>
                <w:szCs w:val="20"/>
              </w:rPr>
            </w:pPr>
            <w:r>
              <w:rPr>
                <w:rFonts w:hint="eastAsia" w:ascii="宋体" w:hAnsi="宋体"/>
                <w:b/>
                <w:color w:val="000000" w:themeColor="text1"/>
                <w:spacing w:val="-4"/>
                <w:sz w:val="20"/>
                <w:szCs w:val="20"/>
              </w:rPr>
              <w:t>9. 目标、方案</w:t>
            </w:r>
          </w:p>
          <w:p>
            <w:pPr>
              <w:spacing w:line="300" w:lineRule="exact"/>
              <w:rPr>
                <w:rFonts w:ascii="宋体" w:hAnsi="宋体"/>
                <w:b/>
                <w:color w:val="000000" w:themeColor="text1"/>
                <w:sz w:val="20"/>
                <w:szCs w:val="20"/>
              </w:rPr>
            </w:pPr>
            <w:r>
              <w:rPr>
                <w:rFonts w:hint="eastAsia" w:ascii="宋体" w:hAnsi="宋体"/>
                <w:b/>
                <w:color w:val="000000" w:themeColor="text1"/>
                <w:spacing w:val="-4"/>
                <w:sz w:val="20"/>
                <w:szCs w:val="20"/>
              </w:rPr>
              <w:t>（在相关层次上建立可测量的目</w:t>
            </w:r>
            <w:r>
              <w:rPr>
                <w:rFonts w:hint="eastAsia" w:ascii="宋体" w:hAnsi="宋体"/>
                <w:b/>
                <w:color w:val="000000" w:themeColor="text1"/>
                <w:sz w:val="20"/>
                <w:szCs w:val="20"/>
              </w:rPr>
              <w:t>标，目标、方案的有效性，对质量目标的实现情况进行评价并叙述测量方法）</w:t>
            </w:r>
          </w:p>
          <w:p>
            <w:pPr>
              <w:spacing w:line="300" w:lineRule="exact"/>
              <w:ind w:firstLine="420" w:firstLineChars="200"/>
              <w:rPr>
                <w:rFonts w:hint="eastAsia" w:ascii="宋体" w:hAnsi="宋体" w:eastAsia="宋体"/>
                <w:b/>
                <w:color w:val="000000" w:themeColor="text1"/>
                <w:sz w:val="21"/>
                <w:szCs w:val="21"/>
                <w:lang w:val="en-US" w:eastAsia="zh-CN"/>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kern w:val="0"/>
                <w:sz w:val="21"/>
                <w:szCs w:val="21"/>
                <w:lang w:val="en-US" w:eastAsia="zh-CN"/>
              </w:rPr>
              <w:t>.</w:t>
            </w:r>
          </w:p>
          <w:p>
            <w:pPr>
              <w:rPr>
                <w:color w:val="000000"/>
                <w:sz w:val="21"/>
                <w:szCs w:val="21"/>
              </w:rPr>
            </w:pPr>
            <w:r>
              <w:rPr>
                <w:rFonts w:hint="eastAsia"/>
                <w:color w:val="000000"/>
                <w:sz w:val="21"/>
                <w:szCs w:val="21"/>
              </w:rPr>
              <w:t>质量、职业健康安全目标：</w:t>
            </w:r>
          </w:p>
          <w:p>
            <w:pPr>
              <w:rPr>
                <w:rFonts w:ascii="宋体" w:hAnsi="宋体" w:cs="宋体"/>
                <w:color w:val="auto"/>
                <w:kern w:val="0"/>
                <w:sz w:val="21"/>
                <w:szCs w:val="21"/>
              </w:rPr>
            </w:pPr>
            <w:r>
              <w:rPr>
                <w:rFonts w:hint="eastAsia" w:ascii="宋体" w:hAnsi="宋体" w:cs="宋体"/>
                <w:color w:val="auto"/>
                <w:kern w:val="0"/>
                <w:sz w:val="21"/>
                <w:szCs w:val="21"/>
              </w:rPr>
              <w:t>1、质量目标：</w:t>
            </w:r>
          </w:p>
          <w:p>
            <w:pPr>
              <w:rPr>
                <w:rFonts w:ascii="宋体" w:hAnsi="宋体" w:cs="宋体"/>
                <w:color w:val="auto"/>
                <w:kern w:val="0"/>
                <w:sz w:val="21"/>
                <w:szCs w:val="21"/>
              </w:rPr>
            </w:pPr>
            <w:r>
              <w:rPr>
                <w:rFonts w:hint="eastAsia" w:ascii="宋体" w:hAnsi="宋体" w:cs="宋体"/>
                <w:color w:val="auto"/>
                <w:kern w:val="0"/>
                <w:sz w:val="21"/>
                <w:szCs w:val="21"/>
              </w:rPr>
              <w:t>1）酒店项目筹备交付合格率：99%；</w:t>
            </w:r>
          </w:p>
          <w:p>
            <w:pPr>
              <w:rPr>
                <w:rFonts w:ascii="宋体" w:hAnsi="宋体" w:cs="宋体"/>
                <w:color w:val="auto"/>
                <w:kern w:val="0"/>
                <w:sz w:val="21"/>
                <w:szCs w:val="21"/>
              </w:rPr>
            </w:pPr>
            <w:r>
              <w:rPr>
                <w:rFonts w:hint="eastAsia" w:ascii="宋体" w:hAnsi="宋体" w:cs="宋体"/>
                <w:color w:val="auto"/>
                <w:kern w:val="0"/>
                <w:sz w:val="21"/>
                <w:szCs w:val="21"/>
              </w:rPr>
              <w:t>2）酒店项目运营管理合格率：95%；</w:t>
            </w:r>
          </w:p>
          <w:p>
            <w:pPr>
              <w:rPr>
                <w:rFonts w:ascii="宋体" w:hAnsi="宋体" w:cs="宋体"/>
                <w:color w:val="auto"/>
                <w:kern w:val="0"/>
                <w:sz w:val="21"/>
                <w:szCs w:val="21"/>
              </w:rPr>
            </w:pPr>
            <w:r>
              <w:rPr>
                <w:rFonts w:hint="eastAsia" w:ascii="宋体" w:hAnsi="宋体" w:cs="宋体"/>
                <w:color w:val="auto"/>
                <w:kern w:val="0"/>
                <w:sz w:val="21"/>
                <w:szCs w:val="21"/>
              </w:rPr>
              <w:t>3）餐饮运营管理合格率：95%；</w:t>
            </w:r>
          </w:p>
          <w:p>
            <w:pPr>
              <w:rPr>
                <w:rFonts w:ascii="宋体" w:hAnsi="宋体" w:cs="宋体"/>
                <w:color w:val="auto"/>
                <w:kern w:val="0"/>
                <w:sz w:val="21"/>
                <w:szCs w:val="21"/>
              </w:rPr>
            </w:pPr>
            <w:r>
              <w:rPr>
                <w:rFonts w:hint="eastAsia" w:ascii="宋体" w:hAnsi="宋体" w:cs="宋体"/>
                <w:color w:val="auto"/>
                <w:kern w:val="0"/>
                <w:sz w:val="21"/>
                <w:szCs w:val="21"/>
              </w:rPr>
              <w:t>4）顾客满意度大于90%。</w:t>
            </w:r>
          </w:p>
          <w:p>
            <w:pPr>
              <w:rPr>
                <w:rFonts w:ascii="宋体" w:hAnsi="宋体" w:cs="宋体"/>
                <w:color w:val="auto"/>
                <w:kern w:val="0"/>
                <w:sz w:val="21"/>
                <w:szCs w:val="21"/>
              </w:rPr>
            </w:pPr>
            <w:r>
              <w:rPr>
                <w:rFonts w:hint="eastAsia" w:ascii="宋体" w:hAnsi="宋体" w:cs="宋体"/>
                <w:color w:val="auto"/>
                <w:kern w:val="0"/>
                <w:sz w:val="21"/>
                <w:szCs w:val="21"/>
              </w:rPr>
              <w:t>2、职业健康安全目标：</w:t>
            </w:r>
          </w:p>
          <w:p>
            <w:pPr>
              <w:rPr>
                <w:rFonts w:ascii="宋体" w:hAnsi="宋体" w:cs="宋体"/>
                <w:color w:val="auto"/>
                <w:kern w:val="0"/>
                <w:sz w:val="21"/>
                <w:szCs w:val="21"/>
              </w:rPr>
            </w:pPr>
            <w:r>
              <w:rPr>
                <w:rFonts w:hint="eastAsia" w:ascii="宋体" w:hAnsi="宋体" w:cs="宋体"/>
                <w:color w:val="auto"/>
                <w:kern w:val="0"/>
                <w:sz w:val="21"/>
                <w:szCs w:val="21"/>
              </w:rPr>
              <w:t>1）管理项目的工伤率：1%（按月统计）；</w:t>
            </w:r>
          </w:p>
          <w:p>
            <w:pPr>
              <w:rPr>
                <w:rFonts w:ascii="宋体" w:hAnsi="宋体" w:eastAsia="宋体" w:cs="Times New Roman"/>
                <w:b/>
                <w:color w:val="000000" w:themeColor="text1"/>
                <w:kern w:val="2"/>
                <w:sz w:val="24"/>
                <w:lang w:val="en-US" w:eastAsia="zh-CN" w:bidi="ar-SA"/>
              </w:rPr>
            </w:pPr>
            <w:r>
              <w:rPr>
                <w:rFonts w:hint="eastAsia" w:ascii="宋体" w:hAnsi="宋体" w:cs="宋体"/>
                <w:color w:val="auto"/>
                <w:kern w:val="0"/>
                <w:sz w:val="21"/>
                <w:szCs w:val="21"/>
              </w:rPr>
              <w:t>2)重大伤害事故：0。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240" w:lineRule="exact"/>
              <w:rPr>
                <w:rFonts w:ascii="宋体" w:hAnsi="宋体"/>
                <w:b/>
                <w:sz w:val="21"/>
                <w:szCs w:val="21"/>
              </w:rPr>
            </w:pPr>
            <w:r>
              <w:rPr>
                <w:rFonts w:hint="eastAsia" w:ascii="宋体" w:hAnsi="宋体" w:cs="宋体"/>
                <w:color w:val="000000" w:themeColor="text1"/>
                <w:sz w:val="21"/>
                <w:szCs w:val="21"/>
              </w:rPr>
              <w:t>公司按照申请认证的标准要求，建立并形成了文件化的</w:t>
            </w:r>
            <w:r>
              <w:rPr>
                <w:rFonts w:hint="eastAsia" w:ascii="宋体" w:hAnsi="宋体"/>
                <w:color w:val="000000" w:themeColor="text1"/>
                <w:sz w:val="21"/>
                <w:szCs w:val="21"/>
              </w:rPr>
              <w:t>环境和职业健康安全</w:t>
            </w:r>
            <w:r>
              <w:rPr>
                <w:rFonts w:hint="eastAsia" w:ascii="宋体" w:hAnsi="宋体" w:cs="宋体"/>
                <w:color w:val="000000" w:themeColor="text1"/>
                <w:sz w:val="21"/>
                <w:szCs w:val="21"/>
              </w:rPr>
              <w:t>管</w:t>
            </w:r>
            <w:r>
              <w:rPr>
                <w:rFonts w:hint="eastAsia" w:ascii="宋体" w:hAnsi="宋体" w:cs="宋体"/>
                <w:color w:val="auto"/>
                <w:sz w:val="21"/>
                <w:szCs w:val="21"/>
              </w:rPr>
              <w:t>理体系，体系文件对管理体系各过程进行了识别确定、明确了各要素间的相互关系及其管控要求。</w:t>
            </w:r>
            <w:r>
              <w:rPr>
                <w:rFonts w:hint="eastAsia" w:ascii="宋体" w:hAnsi="宋体" w:eastAsia="宋体" w:cs="Times New Roman"/>
                <w:color w:val="auto"/>
                <w:sz w:val="21"/>
                <w:szCs w:val="21"/>
              </w:rPr>
              <w:t>因职业健康安全管理体系换版，</w:t>
            </w:r>
            <w:r>
              <w:rPr>
                <w:rFonts w:hint="eastAsia" w:ascii="宋体" w:hAnsi="宋体" w:eastAsia="宋体" w:cs="Times New Roman"/>
                <w:color w:val="auto"/>
                <w:sz w:val="21"/>
                <w:szCs w:val="21"/>
                <w:lang w:val="en-US" w:eastAsia="zh-CN"/>
              </w:rPr>
              <w:t>现行</w:t>
            </w:r>
            <w:r>
              <w:rPr>
                <w:rFonts w:hint="eastAsia" w:ascii="宋体" w:hAnsi="宋体" w:eastAsia="宋体" w:cs="Times New Roman"/>
                <w:color w:val="auto"/>
                <w:sz w:val="21"/>
                <w:szCs w:val="21"/>
              </w:rPr>
              <w:t>管理手册和程序文件于2020年</w:t>
            </w:r>
            <w:r>
              <w:rPr>
                <w:rFonts w:hint="eastAsia" w:ascii="宋体" w:hAnsi="宋体" w:cs="Times New Roman"/>
                <w:color w:val="auto"/>
                <w:sz w:val="21"/>
                <w:szCs w:val="21"/>
                <w:lang w:val="en-US" w:eastAsia="zh-CN"/>
              </w:rPr>
              <w:t>5</w:t>
            </w:r>
            <w:r>
              <w:rPr>
                <w:rFonts w:hint="eastAsia" w:ascii="宋体" w:hAnsi="宋体" w:eastAsia="宋体" w:cs="Times New Roman"/>
                <w:color w:val="auto"/>
                <w:sz w:val="21"/>
                <w:szCs w:val="21"/>
              </w:rPr>
              <w:t>月</w:t>
            </w:r>
            <w:r>
              <w:rPr>
                <w:rFonts w:hint="eastAsia" w:ascii="宋体" w:hAnsi="宋体" w:eastAsia="宋体" w:cs="Times New Roman"/>
                <w:color w:val="auto"/>
                <w:sz w:val="21"/>
                <w:szCs w:val="21"/>
                <w:lang w:val="en-US" w:eastAsia="zh-CN"/>
              </w:rPr>
              <w:t>2</w:t>
            </w:r>
            <w:r>
              <w:rPr>
                <w:rFonts w:hint="eastAsia" w:ascii="宋体" w:hAnsi="宋体" w:cs="Times New Roman"/>
                <w:color w:val="auto"/>
                <w:sz w:val="21"/>
                <w:szCs w:val="21"/>
                <w:lang w:val="en-US" w:eastAsia="zh-CN"/>
              </w:rPr>
              <w:t>5</w:t>
            </w:r>
            <w:r>
              <w:rPr>
                <w:rFonts w:hint="eastAsia" w:ascii="宋体" w:hAnsi="宋体" w:eastAsia="宋体" w:cs="Times New Roman"/>
                <w:color w:val="auto"/>
                <w:sz w:val="21"/>
                <w:szCs w:val="21"/>
              </w:rPr>
              <w:t>日</w:t>
            </w:r>
            <w:r>
              <w:rPr>
                <w:rFonts w:hint="eastAsia" w:ascii="宋体" w:hAnsi="宋体" w:cs="宋体"/>
                <w:color w:val="auto"/>
                <w:sz w:val="21"/>
                <w:szCs w:val="21"/>
              </w:rPr>
              <w:t>发布并有效实施运行，</w:t>
            </w:r>
            <w:r>
              <w:rPr>
                <w:rFonts w:hint="eastAsia" w:ascii="宋体" w:hAnsi="宋体" w:cs="宋体"/>
                <w:color w:val="000000" w:themeColor="text1"/>
                <w:sz w:val="21"/>
                <w:szCs w:val="21"/>
              </w:rPr>
              <w:t>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rFonts w:hint="eastAsia" w:ascii="宋体" w:hAnsi="宋体"/>
                <w:sz w:val="21"/>
                <w:szCs w:val="21"/>
              </w:rPr>
              <w:t>人力资源</w:t>
            </w:r>
            <w:r>
              <w:rPr>
                <w:rFonts w:hint="eastAsia" w:ascii="宋体" w:hAnsi="宋体"/>
                <w:bCs/>
                <w:iCs/>
                <w:sz w:val="21"/>
                <w:szCs w:val="21"/>
              </w:rPr>
              <w:t>及相关服务运行环境，可以维持管理体系的正常运行。</w:t>
            </w:r>
          </w:p>
          <w:p>
            <w:pPr>
              <w:spacing w:line="300" w:lineRule="exact"/>
              <w:rPr>
                <w:rFonts w:ascii="宋体" w:hAnsi="宋体" w:eastAsia="宋体" w:cs="Times New Roman"/>
                <w:b/>
                <w:color w:val="000000" w:themeColor="text1"/>
                <w:kern w:val="2"/>
                <w:sz w:val="20"/>
                <w:szCs w:val="20"/>
                <w:lang w:val="en-US" w:eastAsia="zh-CN" w:bidi="ar-SA"/>
              </w:rPr>
            </w:pPr>
            <w:r>
              <w:rPr>
                <w:rFonts w:hint="eastAsia" w:ascii="宋体" w:hAnsi="宋体"/>
                <w:bCs/>
                <w:iCs/>
                <w:sz w:val="21"/>
                <w:szCs w:val="21"/>
              </w:rPr>
              <w:t xml:space="preserve">    组织识别和维护运行中所需的知识，并适时更新，组织的知识可以保证其提供合格产品和服务的要求，并应对不断变化的需求和发展趋势进行评价</w:t>
            </w:r>
            <w:r>
              <w:rPr>
                <w:rFonts w:hint="eastAsia" w:ascii="宋体" w:hAnsi="宋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eastAsia="宋体" w:cs="Times New Roman"/>
                <w:b/>
                <w:color w:val="FF0000"/>
                <w:kern w:val="2"/>
                <w:sz w:val="20"/>
                <w:szCs w:val="20"/>
                <w:lang w:val="en-US" w:eastAsia="zh-CN" w:bidi="ar-SA"/>
              </w:rPr>
            </w:pPr>
            <w:r>
              <w:rPr>
                <w:rFonts w:hint="eastAsia" w:ascii="宋体" w:hAnsi="宋体"/>
                <w:sz w:val="21"/>
                <w:szCs w:val="21"/>
              </w:rPr>
              <w:t>办公场所面积500平方左右。</w:t>
            </w:r>
            <w:r>
              <w:rPr>
                <w:rFonts w:hint="eastAsia" w:ascii="宋体" w:hAnsi="宋体" w:cs="宋体"/>
                <w:sz w:val="21"/>
                <w:szCs w:val="21"/>
              </w:rPr>
              <w:t>主要生产设备包括电脑及办公设备可满足</w:t>
            </w:r>
            <w:r>
              <w:rPr>
                <w:rFonts w:hint="eastAsia" w:ascii="宋体" w:hAnsi="宋体"/>
                <w:sz w:val="21"/>
                <w:szCs w:val="21"/>
              </w:rPr>
              <w:t>服务的需要</w:t>
            </w:r>
            <w:r>
              <w:rPr>
                <w:rFonts w:hint="eastAsia" w:ascii="宋体" w:hAnsi="宋体" w:cs="宋体"/>
                <w:sz w:val="21"/>
                <w:szCs w:val="21"/>
              </w:rPr>
              <w:t>。对设备按月方式进行点检维护保养，并实施。特种设备：无。公司未建立信息管理系统用于生产和服务。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sz w:val="21"/>
                <w:szCs w:val="21"/>
              </w:rPr>
              <w:t>办公、服务场所和内设备布置合理，通道畅通，照明设施齐全，均配备了消防设施等设施。办公室明亮，培训场所光线较充足。每月由人行部对工作环境进行定期检查。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ind w:firstLine="210" w:firstLineChars="100"/>
              <w:rPr>
                <w:rFonts w:ascii="宋体" w:hAnsi="宋体" w:eastAsia="宋体" w:cs="Times New Roman"/>
                <w:b/>
                <w:kern w:val="2"/>
                <w:sz w:val="20"/>
                <w:szCs w:val="20"/>
                <w:lang w:val="en-US" w:eastAsia="zh-CN" w:bidi="ar-SA"/>
              </w:rPr>
            </w:pPr>
            <w:r>
              <w:rPr>
                <w:rFonts w:hint="eastAsia" w:ascii="宋体" w:hAnsi="宋体" w:cs="宋体"/>
                <w:sz w:val="21"/>
                <w:szCs w:val="21"/>
              </w:rPr>
              <w:t>暂未配置检测设备，采取人为检查方式评价。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eastAsia="宋体" w:cs="Times New Roman"/>
                <w:b/>
                <w:color w:val="000000" w:themeColor="text1"/>
                <w:kern w:val="2"/>
                <w:sz w:val="20"/>
                <w:szCs w:val="20"/>
                <w:lang w:val="en-US" w:eastAsia="zh-CN" w:bidi="ar-SA"/>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eastAsia="宋体" w:cs="Times New Roman"/>
                <w:kern w:val="2"/>
                <w:sz w:val="20"/>
                <w:szCs w:val="20"/>
                <w:lang w:val="en-US" w:eastAsia="zh-CN" w:bidi="ar-SA"/>
              </w:rPr>
            </w:pP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eastAsia="宋体" w:cs="Times New Roman"/>
                <w:kern w:val="2"/>
                <w:sz w:val="20"/>
                <w:szCs w:val="20"/>
                <w:lang w:val="en-US" w:eastAsia="zh-CN" w:bidi="ar-SA"/>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1"/>
                <w:szCs w:val="21"/>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0"/>
                <w:szCs w:val="20"/>
              </w:rPr>
              <w:t>OHSMS事务代表协商和交流的情况（OHSMS填写）：</w:t>
            </w:r>
            <w:r>
              <w:rPr>
                <w:rFonts w:hint="eastAsia" w:ascii="宋体" w:hAnsi="宋体" w:cs="Arial"/>
                <w:sz w:val="21"/>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hAnsi="Times New Roman" w:eastAsia="楷体_GB2312" w:cs="Times New Roman"/>
                <w:b/>
                <w:color w:val="000000" w:themeColor="text1"/>
                <w:kern w:val="2"/>
                <w:sz w:val="24"/>
                <w:szCs w:val="21"/>
                <w:lang w:val="en-US" w:eastAsia="zh-CN" w:bidi="ar-SA"/>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9"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交付前予以实现，范围包括：过程、最终产品。以此保证持续向顾客稳定提供稳定合格的产品。</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(应说明相关证据)：</w:t>
            </w:r>
            <w:r>
              <w:rPr>
                <w:rFonts w:hint="eastAsia"/>
                <w:color w:val="000000" w:themeColor="text1"/>
                <w:sz w:val="21"/>
                <w:szCs w:val="21"/>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（EMS对重要环境因素控制，重大环境因素对周边环境产生的影响及控制;对相关方施加影响）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9"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imes New Roman" w:hAnsi="Times New Roman" w:eastAsia="宋体" w:cs="Times New Roman"/>
                <w:b/>
                <w:color w:val="000000" w:themeColor="text1"/>
                <w:kern w:val="2"/>
                <w:sz w:val="20"/>
                <w:szCs w:val="20"/>
                <w:lang w:val="en-US" w:eastAsia="zh-CN" w:bidi="ar-SA"/>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组织建立了危险源识别、评价控制程序，识别评价了危险源、风险相关的过程，评价出了重要危险源，与之相关的过程有服务、招聘过程，针对不可接受风险制定了管理方案。控制措施实施有效。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default"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w:t>
            </w:r>
            <w:r>
              <w:rPr>
                <w:rFonts w:hint="eastAsia" w:ascii="宋体" w:hAnsi="宋体" w:cs="宋体"/>
                <w:color w:val="auto"/>
                <w:sz w:val="21"/>
                <w:szCs w:val="21"/>
              </w:rPr>
              <w:t>值。通过20</w:t>
            </w:r>
            <w:r>
              <w:rPr>
                <w:rFonts w:hint="eastAsia" w:ascii="宋体" w:hAnsi="宋体" w:cs="宋体"/>
                <w:color w:val="auto"/>
                <w:sz w:val="21"/>
                <w:szCs w:val="21"/>
                <w:lang w:val="en-US" w:eastAsia="zh-CN"/>
              </w:rPr>
              <w:t>20</w:t>
            </w:r>
            <w:r>
              <w:rPr>
                <w:rFonts w:hint="eastAsia" w:ascii="宋体" w:hAnsi="宋体" w:cs="宋体"/>
                <w:color w:val="auto"/>
                <w:sz w:val="21"/>
                <w:szCs w:val="21"/>
              </w:rPr>
              <w:t>年</w:t>
            </w:r>
            <w:r>
              <w:rPr>
                <w:rFonts w:hint="eastAsia" w:ascii="宋体" w:hAnsi="宋体" w:cs="宋体"/>
                <w:color w:val="auto"/>
                <w:sz w:val="21"/>
                <w:szCs w:val="21"/>
                <w:lang w:val="en-US" w:eastAsia="zh-CN"/>
              </w:rPr>
              <w:t>1</w:t>
            </w:r>
            <w:r>
              <w:rPr>
                <w:rFonts w:hint="eastAsia" w:ascii="宋体" w:hAnsi="宋体" w:cs="宋体"/>
                <w:color w:val="auto"/>
                <w:sz w:val="21"/>
                <w:szCs w:val="21"/>
              </w:rPr>
              <w:t>-</w:t>
            </w:r>
            <w:r>
              <w:rPr>
                <w:rFonts w:hint="eastAsia" w:ascii="宋体" w:hAnsi="宋体" w:cs="宋体"/>
                <w:color w:val="auto"/>
                <w:sz w:val="21"/>
                <w:szCs w:val="21"/>
                <w:lang w:val="en-US" w:eastAsia="zh-CN"/>
              </w:rPr>
              <w:t>10</w:t>
            </w:r>
            <w:r>
              <w:rPr>
                <w:rFonts w:hint="eastAsia" w:ascii="宋体" w:hAnsi="宋体" w:cs="宋体"/>
                <w:color w:val="auto"/>
                <w:sz w:val="21"/>
                <w:szCs w:val="21"/>
              </w:rPr>
              <w:t>月目标的测量，</w:t>
            </w:r>
            <w:r>
              <w:rPr>
                <w:rFonts w:hint="eastAsia" w:ascii="宋体" w:hAnsi="宋体" w:cs="宋体"/>
                <w:sz w:val="21"/>
                <w:szCs w:val="21"/>
              </w:rPr>
              <w:t>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20" w:leftChars="50" w:firstLine="315" w:firstLineChars="150"/>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w:t>
            </w:r>
            <w:r>
              <w:rPr>
                <w:rFonts w:hint="eastAsia" w:ascii="宋体" w:hAnsi="宋体" w:cs="宋体"/>
                <w:sz w:val="21"/>
                <w:szCs w:val="21"/>
              </w:rPr>
              <w:t>品质量事故。顾客满意度调查</w:t>
            </w:r>
            <w:r>
              <w:rPr>
                <w:rFonts w:hint="eastAsia" w:ascii="宋体" w:hAnsi="宋体" w:cs="宋体"/>
                <w:color w:val="000000" w:themeColor="text1"/>
                <w:sz w:val="21"/>
                <w:szCs w:val="21"/>
                <w14:textFill>
                  <w14:solidFill>
                    <w14:schemeClr w14:val="tx1"/>
                  </w14:solidFill>
                </w14:textFill>
              </w:rPr>
              <w:t>按规定实施，20</w:t>
            </w:r>
            <w:r>
              <w:rPr>
                <w:rFonts w:hint="eastAsia" w:ascii="宋体" w:hAnsi="宋体" w:cs="宋体"/>
                <w:color w:val="000000" w:themeColor="text1"/>
                <w:sz w:val="21"/>
                <w:szCs w:val="21"/>
                <w:lang w:val="en-US" w:eastAsia="zh-CN"/>
                <w14:textFill>
                  <w14:solidFill>
                    <w14:schemeClr w14:val="tx1"/>
                  </w14:solidFill>
                </w14:textFill>
              </w:rPr>
              <w:t>20</w:t>
            </w:r>
            <w:r>
              <w:rPr>
                <w:rFonts w:hint="eastAsia" w:ascii="宋体" w:hAnsi="宋体" w:cs="宋体"/>
                <w:color w:val="000000" w:themeColor="text1"/>
                <w:sz w:val="21"/>
                <w:szCs w:val="21"/>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cs="宋体"/>
                <w:color w:val="000000" w:themeColor="text1"/>
                <w:sz w:val="21"/>
                <w:szCs w:val="21"/>
                <w14:textFill>
                  <w14:solidFill>
                    <w14:schemeClr w14:val="tx1"/>
                  </w14:solidFill>
                </w14:textFill>
              </w:rPr>
              <w:t>月实施，满意度评价9</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rFonts w:ascii="Times New Roman" w:hAnsi="Times New Roman" w:eastAsia="宋体" w:cs="Times New Roman"/>
                <w:b/>
                <w:color w:val="FF0000"/>
                <w:kern w:val="2"/>
                <w:sz w:val="20"/>
                <w:szCs w:val="20"/>
                <w:lang w:val="en-US" w:eastAsia="zh-CN" w:bidi="ar-SA"/>
              </w:rPr>
            </w:pPr>
            <w:r>
              <w:rPr>
                <w:rFonts w:hint="eastAsia" w:ascii="宋体" w:hAnsi="宋体"/>
                <w:sz w:val="21"/>
                <w:szCs w:val="21"/>
              </w:rPr>
              <w:t>建立有《内部审核控制程序》，规定了内审频次一</w:t>
            </w:r>
            <w:r>
              <w:rPr>
                <w:rFonts w:hint="eastAsia" w:ascii="宋体" w:hAnsi="宋体"/>
                <w:color w:val="auto"/>
                <w:sz w:val="21"/>
                <w:szCs w:val="21"/>
              </w:rPr>
              <w:t>年一次，内审时间：20</w:t>
            </w:r>
            <w:r>
              <w:rPr>
                <w:rFonts w:hint="eastAsia" w:ascii="宋体" w:hAnsi="宋体"/>
                <w:color w:val="auto"/>
                <w:sz w:val="21"/>
                <w:szCs w:val="21"/>
                <w:lang w:val="en-US" w:eastAsia="zh-CN"/>
              </w:rPr>
              <w:t>20</w:t>
            </w:r>
            <w:r>
              <w:rPr>
                <w:rFonts w:hint="eastAsia" w:ascii="宋体" w:hAnsi="宋体"/>
                <w:color w:val="auto"/>
                <w:sz w:val="21"/>
                <w:szCs w:val="21"/>
              </w:rPr>
              <w:t>年7月2</w:t>
            </w:r>
            <w:r>
              <w:rPr>
                <w:rFonts w:hint="eastAsia" w:ascii="宋体" w:hAnsi="宋体"/>
                <w:color w:val="auto"/>
                <w:sz w:val="21"/>
                <w:szCs w:val="21"/>
                <w:lang w:val="en-US" w:eastAsia="zh-CN"/>
              </w:rPr>
              <w:t>3</w:t>
            </w:r>
            <w:r>
              <w:rPr>
                <w:rFonts w:hint="eastAsia" w:ascii="宋体" w:hAnsi="宋体"/>
                <w:color w:val="auto"/>
                <w:sz w:val="21"/>
                <w:szCs w:val="21"/>
              </w:rPr>
              <w:t>-2</w:t>
            </w:r>
            <w:r>
              <w:rPr>
                <w:rFonts w:hint="eastAsia" w:ascii="宋体" w:hAnsi="宋体"/>
                <w:color w:val="auto"/>
                <w:sz w:val="21"/>
                <w:szCs w:val="21"/>
                <w:lang w:val="en-US" w:eastAsia="zh-CN"/>
              </w:rPr>
              <w:t>4</w:t>
            </w:r>
            <w:r>
              <w:rPr>
                <w:rFonts w:hint="eastAsia" w:ascii="宋体" w:hAnsi="宋体"/>
                <w:color w:val="auto"/>
                <w:sz w:val="21"/>
                <w:szCs w:val="21"/>
              </w:rPr>
              <w:t>日，拟定了审核实施表，明确了内审范围，内审人员经培训合格上岗，能力满足要求，未出现审核本部门情况，内审不符合项</w:t>
            </w:r>
            <w:r>
              <w:rPr>
                <w:rFonts w:hint="eastAsia" w:ascii="宋体" w:hAnsi="宋体"/>
                <w:color w:val="auto"/>
                <w:sz w:val="21"/>
                <w:szCs w:val="21"/>
                <w:lang w:val="en-US" w:eastAsia="zh-CN"/>
              </w:rPr>
              <w:t>1</w:t>
            </w:r>
            <w:r>
              <w:rPr>
                <w:rFonts w:hint="eastAsia" w:ascii="宋体" w:hAnsi="宋体"/>
                <w:color w:val="auto"/>
                <w:sz w:val="21"/>
                <w:szCs w:val="21"/>
              </w:rPr>
              <w:t>项，涉及</w:t>
            </w:r>
            <w:r>
              <w:rPr>
                <w:rFonts w:hint="eastAsia" w:ascii="宋体" w:hAnsi="宋体"/>
                <w:color w:val="auto"/>
                <w:sz w:val="21"/>
                <w:szCs w:val="21"/>
                <w:lang w:val="en-US" w:eastAsia="zh-CN"/>
              </w:rPr>
              <w:t>业务发展</w:t>
            </w:r>
            <w:r>
              <w:rPr>
                <w:rFonts w:hint="eastAsia" w:ascii="宋体" w:hAnsi="宋体"/>
                <w:color w:val="auto"/>
                <w:sz w:val="21"/>
                <w:szCs w:val="21"/>
              </w:rPr>
              <w:t>部</w:t>
            </w:r>
            <w:r>
              <w:rPr>
                <w:rFonts w:hint="eastAsia" w:ascii="宋体" w:hAnsi="宋体"/>
                <w:color w:val="auto"/>
                <w:sz w:val="21"/>
                <w:szCs w:val="21"/>
                <w:lang w:val="en-US" w:eastAsia="zh-CN"/>
              </w:rPr>
              <w:t>Q</w:t>
            </w:r>
            <w:r>
              <w:rPr>
                <w:rFonts w:hint="eastAsia" w:ascii="宋体" w:hAnsi="宋体"/>
                <w:color w:val="auto"/>
                <w:sz w:val="21"/>
                <w:szCs w:val="21"/>
              </w:rPr>
              <w:t>8.</w:t>
            </w:r>
            <w:r>
              <w:rPr>
                <w:rFonts w:hint="eastAsia" w:ascii="宋体" w:hAnsi="宋体"/>
                <w:color w:val="auto"/>
                <w:sz w:val="21"/>
                <w:szCs w:val="21"/>
                <w:lang w:val="en-US" w:eastAsia="zh-CN"/>
              </w:rPr>
              <w:t>2</w:t>
            </w:r>
            <w:r>
              <w:rPr>
                <w:rFonts w:hint="eastAsia" w:ascii="宋体" w:hAnsi="宋体"/>
                <w:color w:val="auto"/>
                <w:sz w:val="21"/>
                <w:szCs w:val="21"/>
              </w:rPr>
              <w:t>条款未能提供7月签订合同的合同评审，针对该不符合项，已及时采取纠正措施后，经内审员验证关闭。内审的有效性需要改善。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auto"/>
                <w:sz w:val="20"/>
                <w:szCs w:val="20"/>
              </w:rPr>
            </w:pPr>
            <w:r>
              <w:rPr>
                <w:rFonts w:hint="eastAsia"/>
                <w:b/>
                <w:color w:val="000000" w:themeColor="text1"/>
                <w:sz w:val="20"/>
                <w:szCs w:val="20"/>
              </w:rPr>
              <w:t>4.管理评审（管理评审体系变更需求</w:t>
            </w:r>
            <w:r>
              <w:rPr>
                <w:rFonts w:hint="eastAsia"/>
                <w:b/>
                <w:color w:val="auto"/>
                <w:sz w:val="20"/>
                <w:szCs w:val="20"/>
              </w:rPr>
              <w:t>，纠正和预防措施、体系有效性等）</w:t>
            </w:r>
          </w:p>
          <w:p>
            <w:pPr>
              <w:spacing w:line="24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cs="宋体"/>
                <w:color w:val="auto"/>
                <w:sz w:val="21"/>
                <w:szCs w:val="21"/>
              </w:rPr>
              <w:t>管理评审频次为一年一次、本次管理评审于</w:t>
            </w:r>
            <w:r>
              <w:rPr>
                <w:rFonts w:hint="eastAsia" w:ascii="宋体" w:hAnsi="宋体"/>
                <w:color w:val="auto"/>
                <w:sz w:val="21"/>
                <w:szCs w:val="21"/>
              </w:rPr>
              <w:t>20</w:t>
            </w:r>
            <w:r>
              <w:rPr>
                <w:rFonts w:hint="eastAsia" w:ascii="宋体" w:hAnsi="宋体"/>
                <w:color w:val="auto"/>
                <w:sz w:val="21"/>
                <w:szCs w:val="21"/>
                <w:lang w:val="en-US" w:eastAsia="zh-CN"/>
              </w:rPr>
              <w:t>20</w:t>
            </w:r>
            <w:r>
              <w:rPr>
                <w:rFonts w:hint="eastAsia" w:ascii="宋体" w:hAnsi="宋体"/>
                <w:color w:val="auto"/>
                <w:sz w:val="21"/>
                <w:szCs w:val="21"/>
              </w:rPr>
              <w:t>年8月</w:t>
            </w:r>
            <w:r>
              <w:rPr>
                <w:rFonts w:hint="eastAsia" w:ascii="宋体" w:hAnsi="宋体"/>
                <w:color w:val="auto"/>
                <w:sz w:val="21"/>
                <w:szCs w:val="21"/>
                <w:lang w:val="en-US" w:eastAsia="zh-CN"/>
              </w:rPr>
              <w:t>30</w:t>
            </w:r>
            <w:r>
              <w:rPr>
                <w:rFonts w:hint="eastAsia" w:ascii="宋体" w:hAnsi="宋体"/>
                <w:color w:val="auto"/>
                <w:sz w:val="21"/>
                <w:szCs w:val="21"/>
              </w:rPr>
              <w:t>日</w:t>
            </w:r>
            <w:r>
              <w:rPr>
                <w:rFonts w:hint="eastAsia" w:ascii="宋体" w:hAnsi="宋体" w:cs="宋体"/>
                <w:color w:val="auto"/>
                <w:sz w:val="21"/>
                <w:szCs w:val="21"/>
              </w:rPr>
              <w:t>由总经理主持完成、提供主要输入材料有各部门总结，输入信息基本充分和满足要求。输出见“管理评审报告”, 做出了管理体系基</w:t>
            </w:r>
            <w:r>
              <w:rPr>
                <w:rFonts w:hint="eastAsia" w:ascii="宋体" w:hAnsi="宋体" w:cs="宋体"/>
                <w:color w:val="000000" w:themeColor="text1"/>
                <w:sz w:val="21"/>
                <w:szCs w:val="21"/>
              </w:rPr>
              <w:t>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ascii="Times New Roman" w:hAnsi="Times New Roman" w:eastAsia="宋体" w:cs="Times New Roman"/>
                <w:kern w:val="2"/>
                <w:sz w:val="20"/>
                <w:szCs w:val="20"/>
                <w:lang w:val="en-US" w:eastAsia="zh-CN" w:bidi="ar-SA"/>
              </w:rPr>
            </w:pPr>
            <w:r>
              <w:rPr>
                <w:rFonts w:hint="eastAsia"/>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3"/>
              </w:numPr>
              <w:spacing w:line="240" w:lineRule="exact"/>
              <w:rPr>
                <w:rFonts w:hint="eastAsia"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ascii="宋体" w:hAnsi="宋体"/>
                <w:b/>
                <w:sz w:val="21"/>
                <w:szCs w:val="21"/>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tabs>
                <w:tab w:val="center" w:pos="3169"/>
              </w:tabs>
              <w:spacing w:line="400" w:lineRule="exact"/>
              <w:jc w:val="left"/>
              <w:rPr>
                <w:rFonts w:hint="eastAsia" w:ascii="宋体" w:hAnsi="宋体"/>
                <w:b/>
                <w:sz w:val="21"/>
                <w:szCs w:val="21"/>
              </w:rPr>
            </w:pPr>
            <w:r>
              <w:rPr>
                <w:rFonts w:hint="eastAsia" w:ascii="宋体" w:hAnsi="宋体"/>
                <w:b/>
                <w:sz w:val="21"/>
                <w:szCs w:val="21"/>
                <w:lang w:eastAsia="zh-CN"/>
              </w:rPr>
              <w:t>上</w:t>
            </w:r>
            <w:r>
              <w:rPr>
                <w:rFonts w:hint="eastAsia"/>
                <w:b/>
                <w:szCs w:val="21"/>
              </w:rPr>
              <w:t>次</w:t>
            </w:r>
            <w:r>
              <w:rPr>
                <w:rFonts w:hint="eastAsia" w:ascii="宋体" w:hAnsi="宋体"/>
                <w:b/>
                <w:sz w:val="21"/>
                <w:szCs w:val="21"/>
              </w:rPr>
              <w:t>不符合为</w:t>
            </w:r>
            <w:r>
              <w:rPr>
                <w:rFonts w:hint="eastAsia" w:ascii="宋体" w:hAnsi="宋体"/>
                <w:b/>
                <w:sz w:val="21"/>
                <w:szCs w:val="21"/>
                <w:lang w:val="en-US" w:eastAsia="zh-CN"/>
              </w:rPr>
              <w:t>S6.2、Q7.2</w:t>
            </w:r>
            <w:r>
              <w:rPr>
                <w:rFonts w:hint="eastAsia" w:ascii="宋体" w:hAnsi="宋体"/>
                <w:b/>
                <w:sz w:val="21"/>
                <w:szCs w:val="21"/>
              </w:rPr>
              <w:t>，经本次审核验证均整改且无类似不符合情况出现</w:t>
            </w:r>
            <w:r>
              <w:rPr>
                <w:rFonts w:hint="eastAsia" w:ascii="宋体" w:hAnsi="宋体"/>
                <w:b/>
                <w:sz w:val="21"/>
                <w:szCs w:val="21"/>
                <w:lang w:eastAsia="zh-CN"/>
              </w:rPr>
              <w:t>。</w:t>
            </w:r>
          </w:p>
        </w:tc>
      </w:tr>
    </w:tbl>
    <w:p>
      <w:pPr>
        <w:tabs>
          <w:tab w:val="left" w:pos="645"/>
        </w:tabs>
        <w:spacing w:after="163" w:afterLines="50" w:line="360" w:lineRule="exact"/>
        <w:rPr>
          <w:b/>
          <w:sz w:val="16"/>
          <w:szCs w:val="16"/>
          <w:highlight w:val="yellow"/>
        </w:rPr>
      </w:pPr>
      <w:r>
        <w:rPr>
          <w:rFonts w:hint="eastAsia"/>
          <w:b/>
          <w:sz w:val="26"/>
          <w:szCs w:val="26"/>
        </w:rPr>
        <w:t>七、</w:t>
      </w:r>
      <w:r>
        <w:rPr>
          <w:rFonts w:hint="eastAsia"/>
          <w:b/>
          <w:sz w:val="26"/>
          <w:szCs w:val="26"/>
          <w:highlight w:val="none"/>
        </w:rPr>
        <w:t>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ascii="宋体" w:hAnsi="宋体" w:eastAsia="宋体" w:cs="宋体"/>
          <w:b/>
          <w:spacing w:val="-10"/>
          <w:szCs w:val="21"/>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firstLine="221" w:firstLineChars="100"/>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color w:val="000000" w:themeColor="text1"/>
          <w:sz w:val="16"/>
          <w:szCs w:val="16"/>
          <w14:textFill>
            <w14:solidFill>
              <w14:schemeClr w14:val="tx1"/>
            </w14:solidFill>
          </w14:textFill>
        </w:rPr>
      </w:pPr>
      <w:r>
        <w:rPr>
          <w:rFonts w:hint="eastAsia"/>
          <w:b/>
          <w:sz w:val="26"/>
          <w:szCs w:val="26"/>
        </w:rPr>
        <w:t>八、本次审核不符合项</w:t>
      </w:r>
    </w:p>
    <w:p>
      <w:pPr>
        <w:spacing w:line="400" w:lineRule="exact"/>
        <w:ind w:left="420" w:leftChars="175" w:firstLine="101" w:firstLineChars="42"/>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本次审核共开具不符合项报告</w:t>
      </w:r>
      <w:r>
        <w:rPr>
          <w:rFonts w:hint="eastAsia" w:ascii="宋体" w:hAnsi="宋体"/>
          <w:b/>
          <w:color w:val="000000" w:themeColor="text1"/>
          <w:szCs w:val="21"/>
          <w:u w:val="single"/>
          <w:lang w:val="en-US" w:eastAsia="zh-CN"/>
          <w14:textFill>
            <w14:solidFill>
              <w14:schemeClr w14:val="tx1"/>
            </w14:solidFill>
          </w14:textFill>
        </w:rPr>
        <w:t>1</w:t>
      </w:r>
      <w:r>
        <w:rPr>
          <w:rFonts w:hint="eastAsia" w:ascii="宋体" w:hAnsi="宋体"/>
          <w:b/>
          <w:color w:val="000000" w:themeColor="text1"/>
          <w:szCs w:val="21"/>
          <w14:textFill>
            <w14:solidFill>
              <w14:schemeClr w14:val="tx1"/>
            </w14:solidFill>
          </w14:textFill>
        </w:rPr>
        <w:t>项；其中</w:t>
      </w:r>
      <w:r>
        <w:rPr>
          <w:rFonts w:ascii="宋体" w:hAnsi="宋体"/>
          <w:b/>
          <w:color w:val="000000" w:themeColor="text1"/>
          <w:szCs w:val="21"/>
          <w14:textFill>
            <w14:solidFill>
              <w14:schemeClr w14:val="tx1"/>
            </w14:solidFill>
          </w14:textFill>
        </w:rPr>
        <w:pict>
          <v:line id="直接连接符 1" o:spid="_x0000_s2059"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color w:val="000000" w:themeColor="text1"/>
          <w:szCs w:val="21"/>
          <w14:textFill>
            <w14:solidFill>
              <w14:schemeClr w14:val="tx1"/>
            </w14:solidFill>
          </w14:textFill>
        </w:rPr>
        <w:t>严重不符合</w:t>
      </w:r>
      <w:r>
        <w:rPr>
          <w:rFonts w:hint="eastAsia" w:ascii="宋体" w:hAnsi="宋体"/>
          <w:b/>
          <w:color w:val="000000" w:themeColor="text1"/>
          <w:szCs w:val="21"/>
          <w:u w:val="single"/>
          <w:lang w:val="en-US" w:eastAsia="zh-CN"/>
          <w14:textFill>
            <w14:solidFill>
              <w14:schemeClr w14:val="tx1"/>
            </w14:solidFill>
          </w14:textFill>
        </w:rPr>
        <w:t>0</w:t>
      </w:r>
      <w:r>
        <w:rPr>
          <w:rFonts w:hint="eastAsia" w:ascii="宋体" w:hAnsi="宋体"/>
          <w:b/>
          <w:color w:val="000000" w:themeColor="text1"/>
          <w:szCs w:val="21"/>
          <w14:textFill>
            <w14:solidFill>
              <w14:schemeClr w14:val="tx1"/>
            </w14:solidFill>
          </w14:textFill>
        </w:rPr>
        <w:t>项，一般不符合</w:t>
      </w:r>
      <w:r>
        <w:rPr>
          <w:rFonts w:hint="eastAsia" w:ascii="宋体" w:hAnsi="宋体"/>
          <w:b/>
          <w:color w:val="000000" w:themeColor="text1"/>
          <w:szCs w:val="21"/>
          <w:u w:val="single"/>
          <w:lang w:val="en-US" w:eastAsia="zh-CN"/>
          <w14:textFill>
            <w14:solidFill>
              <w14:schemeClr w14:val="tx1"/>
            </w14:solidFill>
          </w14:textFill>
        </w:rPr>
        <w:t>1</w:t>
      </w:r>
      <w:r>
        <w:rPr>
          <w:rFonts w:hint="eastAsia" w:ascii="宋体" w:hAnsi="宋体"/>
          <w:b/>
          <w:color w:val="000000" w:themeColor="text1"/>
          <w:szCs w:val="21"/>
          <w14:textFill>
            <w14:solidFill>
              <w14:schemeClr w14:val="tx1"/>
            </w14:solidFill>
          </w14:textFill>
        </w:rPr>
        <w:t>项，观察项项分布在</w:t>
      </w:r>
      <w:r>
        <w:rPr>
          <w:rFonts w:hint="eastAsia" w:ascii="Times New Roman" w:hAnsi="Times New Roman" w:cs="Times New Roman"/>
          <w:b/>
          <w:bCs w:val="0"/>
          <w:color w:val="000000" w:themeColor="text1"/>
          <w:szCs w:val="22"/>
          <w:highlight w:val="none"/>
          <w14:textFill>
            <w14:solidFill>
              <w14:schemeClr w14:val="tx1"/>
            </w14:solidFill>
          </w14:textFill>
        </w:rPr>
        <w:t>人力资源与行政部</w:t>
      </w:r>
      <w:r>
        <w:rPr>
          <w:rFonts w:hint="eastAsia" w:ascii="宋体" w:hAnsi="宋体"/>
          <w:b/>
          <w:color w:val="000000" w:themeColor="text1"/>
          <w:szCs w:val="21"/>
          <w14:textFill>
            <w14:solidFill>
              <w14:schemeClr w14:val="tx1"/>
            </w14:solidFill>
          </w14:textFill>
        </w:rPr>
        <w:t>部门</w:t>
      </w:r>
      <w:r>
        <w:rPr>
          <w:rFonts w:hint="eastAsia" w:ascii="宋体" w:hAnsi="宋体" w:eastAsia="宋体" w:cs="Times New Roman"/>
          <w:b/>
          <w:color w:val="000000" w:themeColor="text1"/>
          <w:szCs w:val="21"/>
          <w:lang w:val="en-US" w:eastAsia="zh-CN"/>
          <w14:textFill>
            <w14:solidFill>
              <w14:schemeClr w14:val="tx1"/>
            </w14:solidFill>
          </w14:textFill>
        </w:rPr>
        <w:t>S9.1.1</w:t>
      </w:r>
      <w:r>
        <w:rPr>
          <w:rFonts w:hint="eastAsia" w:ascii="宋体" w:hAnsi="宋体" w:eastAsia="宋体" w:cs="Times New Roman"/>
          <w:b/>
          <w:color w:val="000000" w:themeColor="text1"/>
          <w:szCs w:val="21"/>
          <w14:textFill>
            <w14:solidFill>
              <w14:schemeClr w14:val="tx1"/>
            </w14:solidFill>
          </w14:textFill>
        </w:rPr>
        <w:t>条</w:t>
      </w:r>
      <w:r>
        <w:rPr>
          <w:rFonts w:hint="eastAsia" w:ascii="宋体" w:hAnsi="宋体"/>
          <w:b/>
          <w:color w:val="000000" w:themeColor="text1"/>
          <w:szCs w:val="21"/>
          <w14:textFill>
            <w14:solidFill>
              <w14:schemeClr w14:val="tx1"/>
            </w14:solidFill>
          </w14:textFill>
        </w:rPr>
        <w:t>款，见不符合项分布表。（</w:t>
      </w:r>
      <w:r>
        <w:rPr>
          <w:rFonts w:ascii="宋体" w:hAnsi="宋体"/>
          <w:b/>
          <w:color w:val="000000" w:themeColor="text1"/>
          <w:szCs w:val="21"/>
          <w14:textFill>
            <w14:solidFill>
              <w14:schemeClr w14:val="tx1"/>
            </w14:solidFill>
          </w14:textFill>
        </w:rPr>
        <w:t>Q/J/E/S</w:t>
      </w:r>
      <w:r>
        <w:rPr>
          <w:rFonts w:hint="eastAsia" w:ascii="宋体" w:hAnsi="宋体"/>
          <w:b/>
          <w:color w:val="000000" w:themeColor="text1"/>
          <w:szCs w:val="21"/>
          <w14:textFill>
            <w14:solidFill>
              <w14:schemeClr w14:val="tx1"/>
            </w14:solidFill>
          </w14:textFill>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6"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2" w:firstLineChars="200"/>
              <w:rPr>
                <w:rFonts w:ascii="宋体" w:hAnsi="宋体"/>
                <w:b/>
                <w:szCs w:val="21"/>
              </w:rPr>
            </w:pPr>
            <w:r>
              <w:rPr>
                <w:rFonts w:ascii="宋体" w:hAnsi="宋体"/>
                <w:b/>
                <w:szCs w:val="21"/>
              </w:rPr>
              <w:t>(</w:t>
            </w:r>
            <w:r>
              <w:rPr>
                <w:rFonts w:hint="eastAsia" w:ascii="微软雅黑" w:hAnsi="微软雅黑" w:eastAsia="微软雅黑"/>
                <w:bCs/>
                <w:szCs w:val="24"/>
              </w:rPr>
              <w:t>综上所述，审核组一致认为，（</w:t>
            </w:r>
            <w:r>
              <w:rPr>
                <w:rFonts w:hint="eastAsia" w:ascii="微软雅黑" w:hAnsi="微软雅黑" w:eastAsia="微软雅黑"/>
                <w:bCs/>
                <w:szCs w:val="24"/>
                <w:lang w:eastAsia="zh-CN"/>
              </w:rPr>
              <w:t>重庆金科金辰酒店管理有限公司</w:t>
            </w:r>
            <w:r>
              <w:rPr>
                <w:rFonts w:hint="eastAsia" w:ascii="微软雅黑" w:hAnsi="微软雅黑" w:eastAsia="微软雅黑"/>
                <w:bCs/>
                <w:szCs w:val="24"/>
              </w:rPr>
              <w:t>）的质量</w:t>
            </w:r>
            <w:r>
              <w:rPr>
                <w:rFonts w:hint="eastAsia" w:ascii="微软雅黑" w:hAnsi="微软雅黑" w:eastAsia="微软雅黑"/>
                <w:bCs/>
                <w:szCs w:val="24"/>
                <w:lang w:eastAsia="zh-CN"/>
              </w:rPr>
              <w:t>、</w:t>
            </w:r>
            <w:r>
              <w:rPr>
                <w:rFonts w:hint="eastAsia" w:ascii="微软雅黑" w:hAnsi="微软雅黑" w:eastAsia="微软雅黑"/>
                <w:bCs/>
                <w:szCs w:val="24"/>
                <w:lang w:val="en-US" w:eastAsia="zh-CN"/>
              </w:rPr>
              <w:t>职业健康安全</w:t>
            </w:r>
            <w:r>
              <w:rPr>
                <w:rFonts w:hint="eastAsia" w:ascii="微软雅黑" w:hAnsi="微软雅黑" w:eastAsia="微软雅黑"/>
                <w:bCs/>
                <w:szCs w:val="24"/>
              </w:rPr>
              <w:t>管理体系适宜、充分、得到良好的实施和保持，体系运行持续有效。</w:t>
            </w:r>
            <w:r>
              <w:rPr>
                <w:rFonts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5"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lang w:val="en-US" w:eastAsia="zh-CN"/>
        </w:rPr>
        <w:t>60</w:t>
      </w:r>
      <w:r>
        <w:rPr>
          <w:rFonts w:hint="eastAsia"/>
          <w:b/>
          <w:sz w:val="21"/>
        </w:rPr>
        <w:t>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r>
        <w:rPr>
          <w:rFonts w:hint="eastAsia"/>
          <w:b/>
          <w:sz w:val="21"/>
          <w:szCs w:val="22"/>
        </w:rPr>
        <w:t>2020年11月26日</w:t>
      </w:r>
    </w:p>
    <w:p>
      <w:pPr>
        <w:snapToGrid w:val="0"/>
        <w:spacing w:line="200" w:lineRule="exact"/>
        <w:ind w:firstLine="482" w:firstLineChars="300"/>
        <w:rPr>
          <w:b/>
          <w:sz w:val="16"/>
          <w:szCs w:val="16"/>
        </w:rPr>
      </w:pPr>
    </w:p>
    <w:p>
      <w:pPr>
        <w:tabs>
          <w:tab w:val="left" w:pos="645"/>
        </w:tabs>
        <w:spacing w:after="163" w:afterLines="50" w:line="360" w:lineRule="exact"/>
        <w:rPr>
          <w:b/>
          <w:bCs/>
          <w:color w:val="000000" w:themeColor="text1"/>
          <w:sz w:val="16"/>
          <w:szCs w:val="16"/>
          <w14:textFill>
            <w14:solidFill>
              <w14:schemeClr w14:val="tx1"/>
            </w14:solidFill>
          </w14:textFill>
        </w:rPr>
      </w:pPr>
      <w:r>
        <w:rPr>
          <w:rFonts w:hint="eastAsia"/>
          <w:b/>
          <w:sz w:val="26"/>
          <w:szCs w:val="26"/>
        </w:rPr>
        <w:t>十三、纠正措施验证及结论</w:t>
      </w:r>
      <w:r>
        <w:rPr>
          <w:rFonts w:hint="eastAsia"/>
          <w:b/>
          <w:bCs/>
          <w:color w:val="000000" w:themeColor="text1"/>
          <w:sz w:val="16"/>
          <w:szCs w:val="16"/>
          <w14:textFill>
            <w14:solidFill>
              <w14:schemeClr w14:val="tx1"/>
            </w14:solidFill>
          </w14:textFill>
        </w:rPr>
        <w:t>：</w:t>
      </w:r>
    </w:p>
    <w:p>
      <w:pPr>
        <w:spacing w:line="360" w:lineRule="exact"/>
        <w:ind w:firstLine="527" w:firstLineChars="250"/>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1.</w:t>
      </w:r>
      <w:r>
        <w:rPr>
          <w:rFonts w:hint="eastAsia"/>
          <w:b/>
          <w:bCs/>
          <w:color w:val="000000" w:themeColor="text1"/>
          <w:sz w:val="21"/>
          <w:szCs w:val="21"/>
          <w14:textFill>
            <w14:solidFill>
              <w14:schemeClr w14:val="tx1"/>
            </w14:solidFill>
          </w14:textFill>
        </w:rPr>
        <w:t>审核中发现的</w:t>
      </w:r>
      <w:r>
        <w:rPr>
          <w:rFonts w:hint="eastAsia"/>
          <w:b/>
          <w:color w:val="000000" w:themeColor="text1"/>
          <w:sz w:val="21"/>
          <w:szCs w:val="21"/>
          <w14:textFill>
            <w14:solidFill>
              <w14:schemeClr w14:val="tx1"/>
            </w14:solidFill>
          </w14:textFill>
        </w:rPr>
        <w:t>□</w:t>
      </w:r>
      <w:r>
        <w:rPr>
          <w:b/>
          <w:color w:val="000000" w:themeColor="text1"/>
          <w:sz w:val="21"/>
          <w:szCs w:val="21"/>
          <w14:textFill>
            <w14:solidFill>
              <w14:schemeClr w14:val="tx1"/>
            </w14:solidFill>
          </w14:textFill>
        </w:rPr>
        <w:t>QMS ()</w:t>
      </w:r>
      <w:r>
        <w:rPr>
          <w:rFonts w:hint="eastAsia"/>
          <w:b/>
          <w:color w:val="000000" w:themeColor="text1"/>
          <w:sz w:val="21"/>
          <w:szCs w:val="21"/>
          <w14:textFill>
            <w14:solidFill>
              <w14:schemeClr w14:val="tx1"/>
            </w14:solidFill>
          </w14:textFill>
        </w:rPr>
        <w:t>个一般不符合，</w:t>
      </w:r>
      <w:r>
        <w:rPr>
          <w:b/>
          <w:color w:val="000000" w:themeColor="text1"/>
          <w:sz w:val="21"/>
          <w:szCs w:val="21"/>
          <w14:textFill>
            <w14:solidFill>
              <w14:schemeClr w14:val="tx1"/>
            </w14:solidFill>
          </w14:textFill>
        </w:rPr>
        <w:t>()</w:t>
      </w:r>
      <w:r>
        <w:rPr>
          <w:rFonts w:hint="eastAsia"/>
          <w:b/>
          <w:color w:val="000000" w:themeColor="text1"/>
          <w:sz w:val="21"/>
          <w:szCs w:val="21"/>
          <w14:textFill>
            <w14:solidFill>
              <w14:schemeClr w14:val="tx1"/>
            </w14:solidFill>
          </w14:textFill>
        </w:rPr>
        <w:t>个严重不符合，□验证合格□仍有问题</w:t>
      </w:r>
    </w:p>
    <w:p>
      <w:pPr>
        <w:spacing w:line="360" w:lineRule="exact"/>
        <w:ind w:firstLine="843" w:firstLineChars="400"/>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审核中发现的□50430 (    )个一般不符合，(    )个严重不符合，□验证合格□仍有问题</w:t>
      </w:r>
    </w:p>
    <w:p>
      <w:pPr>
        <w:spacing w:line="360" w:lineRule="exact"/>
        <w:ind w:firstLine="843" w:firstLineChars="400"/>
        <w:rPr>
          <w:b/>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审核中发现的</w:t>
      </w:r>
      <w:r>
        <w:rPr>
          <w:rFonts w:hint="eastAsia"/>
          <w:b/>
          <w:color w:val="000000" w:themeColor="text1"/>
          <w:sz w:val="21"/>
          <w:szCs w:val="21"/>
          <w14:textFill>
            <w14:solidFill>
              <w14:schemeClr w14:val="tx1"/>
            </w14:solidFill>
          </w14:textFill>
        </w:rPr>
        <w:t>□</w:t>
      </w:r>
      <w:r>
        <w:rPr>
          <w:b/>
          <w:color w:val="000000" w:themeColor="text1"/>
          <w:sz w:val="21"/>
          <w:szCs w:val="21"/>
          <w14:textFill>
            <w14:solidFill>
              <w14:schemeClr w14:val="tx1"/>
            </w14:solidFill>
          </w14:textFill>
        </w:rPr>
        <w:t>EMS ()</w:t>
      </w:r>
      <w:r>
        <w:rPr>
          <w:rFonts w:hint="eastAsia"/>
          <w:b/>
          <w:color w:val="000000" w:themeColor="text1"/>
          <w:sz w:val="21"/>
          <w:szCs w:val="21"/>
          <w14:textFill>
            <w14:solidFill>
              <w14:schemeClr w14:val="tx1"/>
            </w14:solidFill>
          </w14:textFill>
        </w:rPr>
        <w:t>个一般不符合，</w:t>
      </w:r>
      <w:r>
        <w:rPr>
          <w:b/>
          <w:color w:val="000000" w:themeColor="text1"/>
          <w:sz w:val="21"/>
          <w:szCs w:val="21"/>
          <w14:textFill>
            <w14:solidFill>
              <w14:schemeClr w14:val="tx1"/>
            </w14:solidFill>
          </w14:textFill>
        </w:rPr>
        <w:t>( )</w:t>
      </w:r>
      <w:r>
        <w:rPr>
          <w:rFonts w:hint="eastAsia"/>
          <w:b/>
          <w:color w:val="000000" w:themeColor="text1"/>
          <w:sz w:val="21"/>
          <w:szCs w:val="21"/>
          <w14:textFill>
            <w14:solidFill>
              <w14:schemeClr w14:val="tx1"/>
            </w14:solidFill>
          </w14:textFill>
        </w:rPr>
        <w:t>个严重不符合，□验证合格□仍有问题</w:t>
      </w:r>
    </w:p>
    <w:p>
      <w:pPr>
        <w:spacing w:line="360" w:lineRule="exact"/>
        <w:ind w:firstLine="843" w:firstLineChars="400"/>
        <w:rPr>
          <w:b/>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审核中发现的</w:t>
      </w:r>
      <w:r>
        <w:rPr>
          <w:rFonts w:hint="eastAsia"/>
          <w:b/>
          <w:color w:val="000000" w:themeColor="text1"/>
          <w:sz w:val="21"/>
          <w:szCs w:val="21"/>
          <w14:textFill>
            <w14:solidFill>
              <w14:schemeClr w14:val="tx1"/>
            </w14:solidFill>
          </w14:textFill>
        </w:rPr>
        <w:sym w:font="Wingdings 2" w:char="0052"/>
      </w:r>
      <w:r>
        <w:rPr>
          <w:b/>
          <w:color w:val="000000" w:themeColor="text1"/>
          <w:sz w:val="21"/>
          <w:szCs w:val="21"/>
          <w14:textFill>
            <w14:solidFill>
              <w14:schemeClr w14:val="tx1"/>
            </w14:solidFill>
          </w14:textFill>
        </w:rPr>
        <w:t xml:space="preserve">OHSMS (  </w:t>
      </w:r>
      <w:r>
        <w:rPr>
          <w:rFonts w:hint="eastAsia"/>
          <w:b/>
          <w:color w:val="000000" w:themeColor="text1"/>
          <w:sz w:val="21"/>
          <w:szCs w:val="21"/>
          <w:lang w:val="en-US" w:eastAsia="zh-CN"/>
          <w14:textFill>
            <w14:solidFill>
              <w14:schemeClr w14:val="tx1"/>
            </w14:solidFill>
          </w14:textFill>
        </w:rPr>
        <w:t>1</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个一般不符合，</w:t>
      </w:r>
      <w:r>
        <w:rPr>
          <w:b/>
          <w:color w:val="000000" w:themeColor="text1"/>
          <w:sz w:val="21"/>
          <w:szCs w:val="21"/>
          <w14:textFill>
            <w14:solidFill>
              <w14:schemeClr w14:val="tx1"/>
            </w14:solidFill>
          </w14:textFill>
        </w:rPr>
        <w:t xml:space="preserve">( </w:t>
      </w:r>
      <w:r>
        <w:rPr>
          <w:rFonts w:hint="eastAsia"/>
          <w:b/>
          <w:color w:val="000000" w:themeColor="text1"/>
          <w:sz w:val="21"/>
          <w:szCs w:val="21"/>
          <w:lang w:val="en-US" w:eastAsia="zh-CN"/>
          <w14:textFill>
            <w14:solidFill>
              <w14:schemeClr w14:val="tx1"/>
            </w14:solidFill>
          </w14:textFill>
        </w:rPr>
        <w:t>0</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个严重不符合，</w:t>
      </w:r>
      <w:r>
        <w:rPr>
          <w:rFonts w:hint="eastAsia"/>
          <w:b/>
          <w:color w:val="000000" w:themeColor="text1"/>
          <w:sz w:val="21"/>
          <w:szCs w:val="21"/>
          <w14:textFill>
            <w14:solidFill>
              <w14:schemeClr w14:val="tx1"/>
            </w14:solidFill>
          </w14:textFill>
        </w:rPr>
        <w:sym w:font="Wingdings 2" w:char="0052"/>
      </w:r>
      <w:r>
        <w:rPr>
          <w:rFonts w:hint="eastAsia"/>
          <w:b/>
          <w:color w:val="000000" w:themeColor="text1"/>
          <w:sz w:val="21"/>
          <w:szCs w:val="21"/>
          <w14:textFill>
            <w14:solidFill>
              <w14:schemeClr w14:val="tx1"/>
            </w14:solidFill>
          </w14:textFill>
        </w:rPr>
        <w:t>验证合格□仍有问题</w:t>
      </w:r>
      <w:r>
        <w:rPr>
          <w:rFonts w:hint="eastAsia"/>
          <w:b/>
          <w:bCs/>
          <w:color w:val="000000" w:themeColor="text1"/>
          <w:sz w:val="21"/>
          <w:szCs w:val="21"/>
          <w14:textFill>
            <w14:solidFill>
              <w14:schemeClr w14:val="tx1"/>
            </w14:solidFill>
          </w14:textFill>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bookmarkStart w:id="27" w:name="_GoBack"/>
      <w:bookmarkEnd w:id="27"/>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D07C8"/>
    <w:multiLevelType w:val="singleLevel"/>
    <w:tmpl w:val="842D07C8"/>
    <w:lvl w:ilvl="0" w:tentative="0">
      <w:start w:val="9"/>
      <w:numFmt w:val="decimal"/>
      <w:suff w:val="space"/>
      <w:lvlText w:val="%1."/>
      <w:lvlJc w:val="left"/>
    </w:lvl>
  </w:abstractNum>
  <w:abstractNum w:abstractNumId="1">
    <w:nsid w:val="BD3BFDBD"/>
    <w:multiLevelType w:val="singleLevel"/>
    <w:tmpl w:val="BD3BFDBD"/>
    <w:lvl w:ilvl="0" w:tentative="0">
      <w:start w:val="3"/>
      <w:numFmt w:val="decimal"/>
      <w:suff w:val="space"/>
      <w:lvlText w:val="%1."/>
      <w:lvlJc w:val="left"/>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720967AC"/>
    <w:multiLevelType w:val="singleLevel"/>
    <w:tmpl w:val="720967AC"/>
    <w:lvl w:ilvl="0" w:tentative="0">
      <w:start w:val="6"/>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C27AF1"/>
    <w:rsid w:val="315326F5"/>
    <w:rsid w:val="3B775354"/>
    <w:rsid w:val="4A115E4F"/>
    <w:rsid w:val="5CFE7513"/>
    <w:rsid w:val="5D0C31C3"/>
    <w:rsid w:val="6DE062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7"/>
        <o:r id="V:Rule2" type="connector" idref="#_x0000_s205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7"/>
    <customShpInfo spid="_x0000_s2058"/>
    <customShpInfo spid="_x0000_s2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小冉</cp:lastModifiedBy>
  <cp:lastPrinted>2019-04-18T08:15:00Z</cp:lastPrinted>
  <dcterms:modified xsi:type="dcterms:W3CDTF">2020-11-26T06:00:28Z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