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重庆金科金辰酒店管理有限公司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  <w:highlight w:val="green"/>
              </w:rPr>
            </w:pPr>
            <w:r>
              <w:rPr>
                <w:rFonts w:hint="eastAsia"/>
                <w:sz w:val="18"/>
                <w:szCs w:val="18"/>
              </w:rPr>
              <w:t>酒店和餐饮项目运营管理流程：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了解项目基本信息——项目现场考察——项目运营成本核算——与项目业主方初步洽谈——项目风险评估——确认管理方案——商务条件谈判——签定合同——按合同约定开展相关工作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酒店项目筹备管理流程：</w:t>
            </w:r>
          </w:p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项目施工进度，筹备小组进场——协助业主拟订物资采购清单——组织架构搭建——员工招聘、培训——确定酒店经营策略、营销方案、价格体系——植入管理公司品牌服务标准、管理制度、管理流程——管理公司ＶＩ应用——酒店试营业。</w:t>
            </w:r>
          </w:p>
          <w:p>
            <w:pPr>
              <w:snapToGrid w:val="0"/>
              <w:spacing w:line="28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方案策划、运营管理过程为关键过程。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方案策划、运营管理过程</w:t>
            </w:r>
            <w:r>
              <w:rPr>
                <w:rFonts w:hint="eastAsia" w:ascii="宋体" w:hAnsi="宋体"/>
                <w:sz w:val="18"/>
                <w:szCs w:val="18"/>
              </w:rPr>
              <w:t>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火灾伤害，用电、交通事故等意外伤害。采取应急预案和管理方案进行控制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餐饮业经营管理办法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中国旅游饭店行业规范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中国饭店行业突发事件应急规范、饭馆（餐厅）卫生标准、旅馆业治安管理办法等。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1257935</wp:posOffset>
            </wp:positionH>
            <wp:positionV relativeFrom="paragraph">
              <wp:posOffset>17780</wp:posOffset>
            </wp:positionV>
            <wp:extent cx="309245" cy="317500"/>
            <wp:effectExtent l="0" t="0" r="10795" b="2540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40005</wp:posOffset>
            </wp:positionV>
            <wp:extent cx="335915" cy="345440"/>
            <wp:effectExtent l="0" t="0" r="14605" b="5080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2020年11月26日  </w:t>
      </w:r>
      <w:r>
        <w:rPr>
          <w:rFonts w:hint="eastAsia" w:ascii="宋体"/>
          <w:b/>
          <w:sz w:val="22"/>
          <w:szCs w:val="22"/>
        </w:rPr>
        <w:t>审核组长：      日期：2020年11月26日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C2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2020-11-23T05:25:42Z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