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asciiTheme="minorEastAsia" w:hAnsiTheme="minorEastAsia" w:eastAsiaTheme="minorEastAsia"/>
          <w:sz w:val="32"/>
          <w:szCs w:val="32"/>
        </w:rPr>
        <w:t>张掖欣达电杆有限公司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安涛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2020-N1QMS-2211720</w:t>
            </w:r>
          </w:p>
        </w:tc>
        <w:tc>
          <w:tcPr>
            <w:tcW w:w="1728" w:type="dxa"/>
            <w:gridSpan w:val="2"/>
            <w:vAlign w:val="center"/>
          </w:tcPr>
          <w:p>
            <w:pPr>
              <w:jc w:val="center"/>
              <w:rPr>
                <w:b/>
                <w:sz w:val="21"/>
                <w:szCs w:val="21"/>
              </w:rPr>
            </w:pPr>
            <w:r>
              <w:rPr>
                <w:b/>
                <w:sz w:val="21"/>
                <w:szCs w:val="21"/>
              </w:rPr>
              <w:t>16.02.01</w:t>
            </w:r>
          </w:p>
        </w:tc>
        <w:tc>
          <w:tcPr>
            <w:tcW w:w="1729" w:type="dxa"/>
            <w:gridSpan w:val="2"/>
            <w:vAlign w:val="center"/>
          </w:tcPr>
          <w:p>
            <w:pPr>
              <w:jc w:val="center"/>
              <w:rPr>
                <w:b/>
                <w:sz w:val="21"/>
                <w:szCs w:val="21"/>
              </w:rPr>
            </w:pPr>
            <w:r>
              <w:rPr>
                <w:b/>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32"/>
        <w:gridCol w:w="1934"/>
        <w:gridCol w:w="1109"/>
        <w:gridCol w:w="1997"/>
        <w:gridCol w:w="1560"/>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73" w:type="dxa"/>
            <w:gridSpan w:val="2"/>
            <w:vAlign w:val="center"/>
          </w:tcPr>
          <w:p>
            <w:pPr>
              <w:spacing w:line="260" w:lineRule="exact"/>
              <w:jc w:val="both"/>
              <w:rPr>
                <w:rFonts w:ascii="宋体"/>
                <w:b/>
                <w:sz w:val="16"/>
                <w:szCs w:val="16"/>
              </w:rPr>
            </w:pPr>
            <w:r>
              <w:rPr>
                <w:rFonts w:hint="eastAsia" w:ascii="宋体" w:hAnsi="宋体"/>
                <w:b/>
                <w:sz w:val="21"/>
              </w:rPr>
              <w:t>受审核方名称</w:t>
            </w:r>
          </w:p>
        </w:tc>
        <w:tc>
          <w:tcPr>
            <w:tcW w:w="5040" w:type="dxa"/>
            <w:gridSpan w:val="3"/>
            <w:vAlign w:val="center"/>
          </w:tcPr>
          <w:p>
            <w:pPr>
              <w:spacing w:line="260" w:lineRule="exact"/>
              <w:jc w:val="both"/>
              <w:rPr>
                <w:rFonts w:ascii="宋体"/>
                <w:b/>
                <w:color w:val="FF0000"/>
                <w:sz w:val="21"/>
              </w:rPr>
            </w:pPr>
            <w:bookmarkStart w:id="10" w:name="组织名称Add"/>
            <w:r>
              <w:rPr>
                <w:rFonts w:ascii="宋体"/>
                <w:b/>
                <w:color w:val="auto"/>
                <w:sz w:val="21"/>
              </w:rPr>
              <w:t>张掖欣达电杆有限公司</w:t>
            </w:r>
            <w:bookmarkEnd w:id="10"/>
          </w:p>
        </w:tc>
        <w:tc>
          <w:tcPr>
            <w:tcW w:w="1560" w:type="dxa"/>
            <w:vAlign w:val="center"/>
          </w:tcPr>
          <w:p>
            <w:pPr>
              <w:spacing w:line="260" w:lineRule="exact"/>
              <w:jc w:val="both"/>
              <w:rPr>
                <w:rFonts w:ascii="宋体"/>
                <w:b/>
                <w:sz w:val="21"/>
              </w:rPr>
            </w:pPr>
            <w:r>
              <w:rPr>
                <w:rFonts w:hint="eastAsia" w:ascii="宋体" w:hAnsi="宋体"/>
                <w:b/>
                <w:sz w:val="21"/>
              </w:rPr>
              <w:t>组织人数及</w:t>
            </w:r>
          </w:p>
          <w:p>
            <w:pPr>
              <w:spacing w:line="200" w:lineRule="exact"/>
              <w:jc w:val="both"/>
              <w:rPr>
                <w:b/>
                <w:spacing w:val="-20"/>
              </w:rPr>
            </w:pPr>
            <w:r>
              <w:rPr>
                <w:rFonts w:hint="eastAsia" w:ascii="宋体" w:hAnsi="宋体"/>
                <w:b/>
                <w:sz w:val="21"/>
              </w:rPr>
              <w:t>变动情况核实</w:t>
            </w:r>
          </w:p>
        </w:tc>
        <w:tc>
          <w:tcPr>
            <w:tcW w:w="1233" w:type="dxa"/>
            <w:vAlign w:val="center"/>
          </w:tcPr>
          <w:p>
            <w:pPr>
              <w:spacing w:line="260" w:lineRule="exact"/>
              <w:jc w:val="both"/>
              <w:rPr>
                <w:rFonts w:hint="default" w:ascii="宋体" w:eastAsia="宋体"/>
                <w:b/>
                <w:sz w:val="21"/>
                <w:lang w:val="en-US" w:eastAsia="zh-CN"/>
              </w:rPr>
            </w:pPr>
            <w:r>
              <w:rPr>
                <w:rFonts w:hint="eastAsia" w:ascii="宋体"/>
                <w:b/>
                <w:sz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73" w:type="dxa"/>
            <w:gridSpan w:val="2"/>
            <w:vAlign w:val="center"/>
          </w:tcPr>
          <w:p>
            <w:pPr>
              <w:jc w:val="both"/>
              <w:rPr>
                <w:b/>
                <w:sz w:val="16"/>
                <w:szCs w:val="16"/>
              </w:rPr>
            </w:pPr>
            <w:r>
              <w:rPr>
                <w:rFonts w:hint="eastAsia" w:ascii="宋体" w:hAnsi="宋体"/>
                <w:b/>
                <w:sz w:val="21"/>
                <w:szCs w:val="21"/>
              </w:rPr>
              <w:t>注册地址</w:t>
            </w:r>
          </w:p>
        </w:tc>
        <w:tc>
          <w:tcPr>
            <w:tcW w:w="5040" w:type="dxa"/>
            <w:gridSpan w:val="3"/>
            <w:vAlign w:val="center"/>
          </w:tcPr>
          <w:p>
            <w:pPr>
              <w:jc w:val="both"/>
              <w:rPr>
                <w:rFonts w:ascii="宋体"/>
                <w:b/>
                <w:sz w:val="21"/>
              </w:rPr>
            </w:pPr>
            <w:bookmarkStart w:id="11" w:name="注册地址"/>
            <w:r>
              <w:rPr>
                <w:rFonts w:ascii="宋体"/>
                <w:b/>
                <w:sz w:val="21"/>
              </w:rPr>
              <w:t>甘肃省张掖市甘州区沙井镇三道桥原永丰公司院内</w:t>
            </w:r>
            <w:bookmarkEnd w:id="11"/>
          </w:p>
        </w:tc>
        <w:tc>
          <w:tcPr>
            <w:tcW w:w="1560" w:type="dxa"/>
            <w:vMerge w:val="restart"/>
            <w:vAlign w:val="center"/>
          </w:tcPr>
          <w:p>
            <w:pPr>
              <w:jc w:val="both"/>
              <w:rPr>
                <w:rFonts w:ascii="宋体"/>
                <w:b/>
                <w:sz w:val="21"/>
              </w:rPr>
            </w:pPr>
            <w:r>
              <w:rPr>
                <w:rFonts w:hint="eastAsia" w:ascii="宋体" w:hAnsi="宋体"/>
                <w:b/>
                <w:sz w:val="21"/>
              </w:rPr>
              <w:t>邮编</w:t>
            </w:r>
          </w:p>
        </w:tc>
        <w:tc>
          <w:tcPr>
            <w:tcW w:w="1233" w:type="dxa"/>
            <w:vAlign w:val="center"/>
          </w:tcPr>
          <w:p>
            <w:pPr>
              <w:jc w:val="both"/>
              <w:rPr>
                <w:rFonts w:ascii="宋体"/>
                <w:b/>
                <w:sz w:val="21"/>
              </w:rPr>
            </w:pPr>
            <w:bookmarkStart w:id="12" w:name="注册邮编"/>
            <w:r>
              <w:rPr>
                <w:rFonts w:ascii="宋体"/>
                <w:b/>
                <w:sz w:val="21"/>
              </w:rPr>
              <w:t>734022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73" w:type="dxa"/>
            <w:gridSpan w:val="2"/>
            <w:vAlign w:val="center"/>
          </w:tcPr>
          <w:p>
            <w:pPr>
              <w:jc w:val="both"/>
              <w:rPr>
                <w:rFonts w:ascii="宋体"/>
                <w:b/>
                <w:sz w:val="21"/>
                <w:szCs w:val="21"/>
              </w:rPr>
            </w:pPr>
            <w:r>
              <w:rPr>
                <w:rFonts w:hint="eastAsia" w:ascii="宋体" w:hAnsi="宋体"/>
                <w:b/>
                <w:sz w:val="21"/>
                <w:szCs w:val="21"/>
              </w:rPr>
              <w:t>经营地址</w:t>
            </w:r>
          </w:p>
        </w:tc>
        <w:tc>
          <w:tcPr>
            <w:tcW w:w="5040" w:type="dxa"/>
            <w:gridSpan w:val="3"/>
            <w:vAlign w:val="center"/>
          </w:tcPr>
          <w:p>
            <w:pPr>
              <w:jc w:val="both"/>
              <w:rPr>
                <w:rFonts w:ascii="宋体"/>
                <w:b/>
                <w:sz w:val="21"/>
              </w:rPr>
            </w:pPr>
            <w:bookmarkStart w:id="13" w:name="办公地址"/>
            <w:r>
              <w:rPr>
                <w:rFonts w:ascii="宋体"/>
                <w:b/>
                <w:sz w:val="21"/>
              </w:rPr>
              <w:t>甘肃省张掖市甘州区沙井镇三道桥原永丰公司院内</w:t>
            </w:r>
            <w:bookmarkEnd w:id="13"/>
          </w:p>
        </w:tc>
        <w:tc>
          <w:tcPr>
            <w:tcW w:w="1560" w:type="dxa"/>
            <w:vMerge w:val="continue"/>
            <w:vAlign w:val="center"/>
          </w:tcPr>
          <w:p>
            <w:pPr>
              <w:jc w:val="both"/>
              <w:rPr>
                <w:rFonts w:ascii="宋体"/>
                <w:b/>
                <w:sz w:val="21"/>
              </w:rPr>
            </w:pPr>
          </w:p>
        </w:tc>
        <w:tc>
          <w:tcPr>
            <w:tcW w:w="1233" w:type="dxa"/>
            <w:vAlign w:val="center"/>
          </w:tcPr>
          <w:p>
            <w:pPr>
              <w:jc w:val="both"/>
              <w:rPr>
                <w:rFonts w:ascii="宋体"/>
                <w:b/>
                <w:sz w:val="21"/>
              </w:rPr>
            </w:pPr>
            <w:bookmarkStart w:id="14" w:name="办公邮编"/>
            <w:r>
              <w:rPr>
                <w:rFonts w:ascii="宋体"/>
                <w:b/>
                <w:sz w:val="21"/>
              </w:rPr>
              <w:t>734022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73" w:type="dxa"/>
            <w:gridSpan w:val="2"/>
            <w:vAlign w:val="center"/>
          </w:tcPr>
          <w:p>
            <w:pPr>
              <w:jc w:val="both"/>
              <w:rPr>
                <w:rFonts w:ascii="宋体"/>
                <w:b/>
                <w:color w:val="000000"/>
                <w:sz w:val="21"/>
                <w:szCs w:val="21"/>
              </w:rPr>
            </w:pPr>
            <w:r>
              <w:rPr>
                <w:rFonts w:hint="eastAsia" w:ascii="宋体" w:hAnsi="宋体"/>
                <w:b/>
                <w:color w:val="000000"/>
                <w:sz w:val="21"/>
                <w:szCs w:val="21"/>
              </w:rPr>
              <w:t>生产地址</w:t>
            </w:r>
          </w:p>
        </w:tc>
        <w:tc>
          <w:tcPr>
            <w:tcW w:w="5040" w:type="dxa"/>
            <w:gridSpan w:val="3"/>
            <w:vAlign w:val="center"/>
          </w:tcPr>
          <w:p>
            <w:pPr>
              <w:jc w:val="both"/>
              <w:rPr>
                <w:rFonts w:ascii="宋体"/>
                <w:b/>
                <w:sz w:val="21"/>
              </w:rPr>
            </w:pPr>
            <w:bookmarkStart w:id="15" w:name="生产地址Add"/>
            <w:r>
              <w:rPr>
                <w:rFonts w:ascii="宋体"/>
                <w:b/>
                <w:sz w:val="21"/>
              </w:rPr>
              <w:t>甘肃省张掖市甘州区沙井镇三道桥原永丰公司院内</w:t>
            </w:r>
            <w:bookmarkEnd w:id="15"/>
          </w:p>
        </w:tc>
        <w:tc>
          <w:tcPr>
            <w:tcW w:w="1560" w:type="dxa"/>
            <w:vMerge w:val="continue"/>
            <w:vAlign w:val="center"/>
          </w:tcPr>
          <w:p>
            <w:pPr>
              <w:jc w:val="both"/>
              <w:rPr>
                <w:rFonts w:ascii="宋体"/>
                <w:b/>
                <w:sz w:val="21"/>
              </w:rPr>
            </w:pPr>
          </w:p>
        </w:tc>
        <w:tc>
          <w:tcPr>
            <w:tcW w:w="1233" w:type="dxa"/>
            <w:vAlign w:val="center"/>
          </w:tcPr>
          <w:p>
            <w:pPr>
              <w:jc w:val="both"/>
              <w:rPr>
                <w:rFonts w:ascii="宋体"/>
                <w:b/>
                <w:sz w:val="21"/>
              </w:rPr>
            </w:pPr>
            <w:bookmarkStart w:id="16" w:name="生产邮编"/>
            <w:r>
              <w:rPr>
                <w:rFonts w:ascii="宋体"/>
                <w:b/>
                <w:sz w:val="21"/>
              </w:rPr>
              <w:t>734022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973" w:type="dxa"/>
            <w:gridSpan w:val="2"/>
            <w:vAlign w:val="center"/>
          </w:tcPr>
          <w:p>
            <w:pPr>
              <w:jc w:val="both"/>
              <w:rPr>
                <w:rFonts w:ascii="宋体"/>
                <w:b/>
                <w:sz w:val="21"/>
              </w:rPr>
            </w:pPr>
            <w:r>
              <w:rPr>
                <w:rFonts w:hint="eastAsia" w:ascii="宋体" w:hAnsi="宋体"/>
                <w:b/>
                <w:sz w:val="21"/>
              </w:rPr>
              <w:t>联系人</w:t>
            </w:r>
          </w:p>
        </w:tc>
        <w:tc>
          <w:tcPr>
            <w:tcW w:w="1934" w:type="dxa"/>
            <w:vAlign w:val="center"/>
          </w:tcPr>
          <w:p>
            <w:pPr>
              <w:jc w:val="both"/>
              <w:rPr>
                <w:rFonts w:ascii="宋体"/>
                <w:b/>
                <w:sz w:val="21"/>
              </w:rPr>
            </w:pPr>
            <w:bookmarkStart w:id="17" w:name="联系人"/>
            <w:bookmarkEnd w:id="17"/>
            <w:r>
              <w:rPr>
                <w:rFonts w:ascii="宋体"/>
                <w:b/>
                <w:sz w:val="21"/>
              </w:rPr>
              <w:t>王红卫</w:t>
            </w:r>
          </w:p>
        </w:tc>
        <w:tc>
          <w:tcPr>
            <w:tcW w:w="1109" w:type="dxa"/>
            <w:vAlign w:val="center"/>
          </w:tcPr>
          <w:p>
            <w:pPr>
              <w:jc w:val="both"/>
              <w:rPr>
                <w:rFonts w:ascii="宋体"/>
                <w:b/>
                <w:sz w:val="21"/>
              </w:rPr>
            </w:pPr>
            <w:r>
              <w:rPr>
                <w:rFonts w:hint="eastAsia" w:ascii="宋体" w:hAnsi="宋体"/>
                <w:b/>
                <w:sz w:val="21"/>
              </w:rPr>
              <w:t>电话</w:t>
            </w:r>
            <w:r>
              <w:rPr>
                <w:b/>
                <w:sz w:val="16"/>
                <w:szCs w:val="16"/>
              </w:rPr>
              <w:t>.</w:t>
            </w:r>
          </w:p>
        </w:tc>
        <w:tc>
          <w:tcPr>
            <w:tcW w:w="1997" w:type="dxa"/>
            <w:vAlign w:val="center"/>
          </w:tcPr>
          <w:p>
            <w:pPr>
              <w:jc w:val="both"/>
              <w:rPr>
                <w:rFonts w:ascii="宋体"/>
                <w:b/>
                <w:sz w:val="21"/>
              </w:rPr>
            </w:pPr>
            <w:bookmarkStart w:id="18" w:name="联系人电话Add"/>
            <w:bookmarkEnd w:id="18"/>
            <w:r>
              <w:rPr>
                <w:rFonts w:ascii="宋体"/>
                <w:b/>
                <w:sz w:val="21"/>
              </w:rPr>
              <w:t>13993235999</w:t>
            </w:r>
          </w:p>
        </w:tc>
        <w:tc>
          <w:tcPr>
            <w:tcW w:w="1560" w:type="dxa"/>
            <w:vAlign w:val="center"/>
          </w:tcPr>
          <w:p>
            <w:pPr>
              <w:jc w:val="both"/>
              <w:rPr>
                <w:rFonts w:ascii="宋体"/>
                <w:b/>
                <w:sz w:val="21"/>
              </w:rPr>
            </w:pPr>
            <w:r>
              <w:rPr>
                <w:rFonts w:hint="eastAsia" w:ascii="宋体" w:hAnsi="宋体"/>
                <w:b/>
                <w:sz w:val="21"/>
              </w:rPr>
              <w:t>传真</w:t>
            </w:r>
          </w:p>
        </w:tc>
        <w:tc>
          <w:tcPr>
            <w:tcW w:w="1233" w:type="dxa"/>
            <w:vAlign w:val="center"/>
          </w:tcPr>
          <w:p>
            <w:pPr>
              <w:jc w:val="both"/>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3" w:type="dxa"/>
            <w:gridSpan w:val="2"/>
            <w:vAlign w:val="center"/>
          </w:tcPr>
          <w:p>
            <w:pPr>
              <w:jc w:val="both"/>
              <w:rPr>
                <w:rFonts w:ascii="宋体" w:hAnsi="宋体"/>
                <w:b/>
                <w:sz w:val="21"/>
                <w:szCs w:val="21"/>
              </w:rPr>
            </w:pPr>
            <w:r>
              <w:rPr>
                <w:rFonts w:hint="eastAsia" w:ascii="宋体" w:hAnsi="宋体"/>
                <w:b/>
                <w:sz w:val="21"/>
                <w:szCs w:val="21"/>
              </w:rPr>
              <w:t>法人代表</w:t>
            </w:r>
          </w:p>
        </w:tc>
        <w:tc>
          <w:tcPr>
            <w:tcW w:w="1934" w:type="dxa"/>
            <w:vAlign w:val="center"/>
          </w:tcPr>
          <w:p>
            <w:pPr>
              <w:jc w:val="both"/>
              <w:rPr>
                <w:rFonts w:ascii="宋体" w:hAnsi="宋体"/>
                <w:b/>
                <w:sz w:val="21"/>
                <w:szCs w:val="21"/>
              </w:rPr>
            </w:pPr>
            <w:bookmarkStart w:id="20" w:name="法人"/>
            <w:r>
              <w:rPr>
                <w:rFonts w:ascii="宋体" w:hAnsi="宋体"/>
                <w:b/>
                <w:sz w:val="21"/>
                <w:szCs w:val="21"/>
              </w:rPr>
              <w:t>郭冬文</w:t>
            </w:r>
            <w:bookmarkEnd w:id="20"/>
          </w:p>
        </w:tc>
        <w:tc>
          <w:tcPr>
            <w:tcW w:w="1109" w:type="dxa"/>
            <w:vAlign w:val="center"/>
          </w:tcPr>
          <w:p>
            <w:pPr>
              <w:jc w:val="both"/>
              <w:rPr>
                <w:rFonts w:ascii="宋体" w:hAnsi="宋体"/>
                <w:b/>
                <w:sz w:val="21"/>
                <w:szCs w:val="21"/>
              </w:rPr>
            </w:pPr>
            <w:r>
              <w:rPr>
                <w:rFonts w:hint="eastAsia" w:ascii="宋体" w:hAnsi="宋体"/>
                <w:b/>
                <w:sz w:val="21"/>
                <w:szCs w:val="21"/>
              </w:rPr>
              <w:t>总经理</w:t>
            </w:r>
          </w:p>
        </w:tc>
        <w:tc>
          <w:tcPr>
            <w:tcW w:w="1997" w:type="dxa"/>
            <w:vAlign w:val="center"/>
          </w:tcPr>
          <w:p>
            <w:pPr>
              <w:jc w:val="both"/>
              <w:rPr>
                <w:rFonts w:ascii="宋体" w:hAnsi="宋体"/>
                <w:b/>
                <w:sz w:val="21"/>
                <w:szCs w:val="21"/>
              </w:rPr>
            </w:pPr>
          </w:p>
        </w:tc>
        <w:tc>
          <w:tcPr>
            <w:tcW w:w="1560" w:type="dxa"/>
            <w:vAlign w:val="center"/>
          </w:tcPr>
          <w:p>
            <w:pPr>
              <w:jc w:val="both"/>
              <w:rPr>
                <w:rFonts w:ascii="宋体" w:hAnsi="宋体"/>
                <w:b/>
                <w:sz w:val="21"/>
                <w:szCs w:val="21"/>
              </w:rPr>
            </w:pPr>
            <w:r>
              <w:rPr>
                <w:rFonts w:hint="eastAsia" w:ascii="宋体" w:hAnsi="宋体"/>
                <w:b/>
                <w:sz w:val="21"/>
                <w:szCs w:val="21"/>
              </w:rPr>
              <w:t>管理者代表</w:t>
            </w:r>
          </w:p>
        </w:tc>
        <w:tc>
          <w:tcPr>
            <w:tcW w:w="1233" w:type="dxa"/>
            <w:vAlign w:val="center"/>
          </w:tcPr>
          <w:p>
            <w:pPr>
              <w:jc w:val="both"/>
              <w:rPr>
                <w:rFonts w:ascii="宋体"/>
                <w:b/>
                <w:sz w:val="21"/>
              </w:rPr>
            </w:pPr>
            <w:bookmarkStart w:id="21" w:name="管理者代表"/>
            <w:r>
              <w:rPr>
                <w:rFonts w:ascii="宋体"/>
                <w:b/>
                <w:sz w:val="21"/>
              </w:rPr>
              <w:t>王红卫</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73"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43" w:type="dxa"/>
            <w:gridSpan w:val="2"/>
            <w:vAlign w:val="center"/>
          </w:tcPr>
          <w:p>
            <w:pPr>
              <w:rPr>
                <w:rFonts w:ascii="宋体" w:hAnsi="宋体"/>
                <w:b/>
                <w:sz w:val="21"/>
                <w:szCs w:val="21"/>
              </w:rPr>
            </w:pPr>
            <w:bookmarkStart w:id="22" w:name="审核日期"/>
            <w:r>
              <w:rPr>
                <w:rFonts w:ascii="宋体" w:hAnsi="宋体"/>
                <w:b/>
                <w:sz w:val="21"/>
                <w:szCs w:val="21"/>
              </w:rPr>
              <w:t>2020年11月27日 上午至2020年11月27日 下午</w:t>
            </w:r>
            <w:bookmarkEnd w:id="22"/>
          </w:p>
        </w:tc>
        <w:tc>
          <w:tcPr>
            <w:tcW w:w="1997" w:type="dxa"/>
            <w:vAlign w:val="center"/>
          </w:tcPr>
          <w:p>
            <w:pPr>
              <w:rPr>
                <w:rFonts w:ascii="宋体" w:hAnsi="宋体"/>
                <w:b/>
                <w:sz w:val="21"/>
                <w:szCs w:val="21"/>
              </w:rPr>
            </w:pPr>
            <w:r>
              <w:rPr>
                <w:rFonts w:hint="eastAsia" w:ascii="宋体" w:hAnsi="宋体"/>
                <w:b/>
                <w:sz w:val="21"/>
                <w:szCs w:val="21"/>
              </w:rPr>
              <w:t>一体化审核</w:t>
            </w:r>
          </w:p>
        </w:tc>
        <w:tc>
          <w:tcPr>
            <w:tcW w:w="2793" w:type="dxa"/>
            <w:gridSpan w:val="2"/>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973"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833" w:type="dxa"/>
            <w:gridSpan w:val="5"/>
          </w:tcPr>
          <w:p>
            <w:pPr>
              <w:spacing w:line="360" w:lineRule="exact"/>
              <w:rPr>
                <w:rFonts w:hint="eastAsia" w:ascii="宋体" w:hAnsi="宋体"/>
                <w:b/>
                <w:bCs/>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bCs/>
                <w:sz w:val="21"/>
                <w:szCs w:val="21"/>
              </w:rPr>
              <w:t xml:space="preserve">环形混凝土电杆的生产和销售 </w:t>
            </w:r>
          </w:p>
          <w:p>
            <w:pPr>
              <w:spacing w:line="360" w:lineRule="exact"/>
              <w:rPr>
                <w:rFonts w:ascii="宋体" w:hAnsi="宋体"/>
                <w:b/>
                <w:sz w:val="21"/>
                <w:szCs w:val="21"/>
              </w:rPr>
            </w:pPr>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932"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833"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3"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34" w:type="dxa"/>
          </w:tcPr>
          <w:p>
            <w:pPr>
              <w:spacing w:line="260" w:lineRule="exact"/>
              <w:rPr>
                <w:rFonts w:ascii="宋体" w:hAnsi="宋体"/>
                <w:b/>
                <w:sz w:val="21"/>
                <w:szCs w:val="21"/>
              </w:rPr>
            </w:pPr>
            <w:bookmarkStart w:id="27" w:name="专业代码"/>
            <w:r>
              <w:rPr>
                <w:rFonts w:ascii="宋体" w:hAnsi="宋体"/>
                <w:b/>
                <w:sz w:val="21"/>
                <w:szCs w:val="21"/>
              </w:rPr>
              <w:t>16.02.01</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97" w:type="dxa"/>
          </w:tcPr>
          <w:p>
            <w:pPr>
              <w:spacing w:line="260" w:lineRule="exact"/>
              <w:rPr>
                <w:rFonts w:ascii="宋体" w:hAnsi="宋体"/>
                <w:b/>
                <w:sz w:val="21"/>
                <w:szCs w:val="21"/>
              </w:rPr>
            </w:pPr>
            <w:r>
              <w:rPr>
                <w:rFonts w:hint="eastAsia" w:ascii="宋体" w:hAnsi="宋体"/>
                <w:b/>
                <w:bCs w:val="0"/>
                <w:sz w:val="21"/>
                <w:szCs w:val="21"/>
                <w:lang w:val="en-US" w:eastAsia="zh-CN"/>
              </w:rPr>
              <w:t>20</w:t>
            </w:r>
            <w:r>
              <w:rPr>
                <w:rFonts w:hint="eastAsia" w:ascii="宋体" w:hAnsi="宋体"/>
                <w:b/>
                <w:bCs w:val="0"/>
                <w:sz w:val="21"/>
                <w:szCs w:val="21"/>
              </w:rPr>
              <w:t>21.11.18</w:t>
            </w:r>
          </w:p>
        </w:tc>
        <w:tc>
          <w:tcPr>
            <w:tcW w:w="156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233" w:type="dxa"/>
          </w:tcPr>
          <w:p>
            <w:pPr>
              <w:spacing w:line="260" w:lineRule="exact"/>
              <w:rPr>
                <w:rFonts w:ascii="宋体"/>
                <w:b/>
                <w:sz w:val="21"/>
              </w:rPr>
            </w:pPr>
            <w:r>
              <w:rPr>
                <w:rFonts w:ascii="宋体" w:hAnsi="宋体"/>
                <w:b/>
                <w:sz w:val="21"/>
                <w:szCs w:val="21"/>
              </w:rPr>
              <w:t>2019年11月07日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ind w:firstLine="422" w:firstLineChars="200"/>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经营范围：环形混凝土电杆的生产和</w:t>
            </w:r>
            <w:r>
              <w:rPr>
                <w:rFonts w:hint="eastAsia" w:ascii="宋体" w:hAnsi="宋体" w:cs="宋体"/>
                <w:b w:val="0"/>
                <w:bCs/>
                <w:sz w:val="21"/>
                <w:szCs w:val="21"/>
                <w:lang w:eastAsia="zh-CN"/>
              </w:rPr>
              <w:t>销售</w:t>
            </w:r>
            <w:r>
              <w:rPr>
                <w:rFonts w:hint="eastAsia" w:ascii="宋体" w:hAnsi="宋体" w:eastAsia="宋体" w:cs="宋体"/>
                <w:b w:val="0"/>
                <w:bCs/>
                <w:sz w:val="2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提供了《组织内外部环境因素识别表》：</w:t>
            </w:r>
          </w:p>
          <w:p>
            <w:pPr>
              <w:spacing w:line="2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总经理确定与本公司</w:t>
            </w:r>
            <w:r>
              <w:rPr>
                <w:rFonts w:hint="eastAsia" w:ascii="宋体" w:hAnsi="宋体" w:eastAsia="宋体" w:cs="宋体"/>
                <w:b w:val="0"/>
                <w:bCs/>
                <w:sz w:val="21"/>
                <w:szCs w:val="21"/>
                <w:lang w:eastAsia="zh-CN"/>
              </w:rPr>
              <w:t>质量管理体系</w:t>
            </w:r>
            <w:r>
              <w:rPr>
                <w:rFonts w:hint="eastAsia" w:ascii="宋体" w:hAnsi="宋体" w:eastAsia="宋体" w:cs="宋体"/>
                <w:b w:val="0"/>
                <w:bCs/>
                <w:sz w:val="21"/>
                <w:szCs w:val="21"/>
              </w:rPr>
              <w:t>目标和战略方向相关并影响实现管理体系预期结果的各种内部因素和外部因素，包括了需要考虑的正面和负面因素或条件。</w:t>
            </w:r>
          </w:p>
          <w:p>
            <w:pPr>
              <w:spacing w:line="2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内部环境：资源因素－公司提供符合环形混凝土电杆的生产和</w:t>
            </w:r>
            <w:r>
              <w:rPr>
                <w:rFonts w:hint="eastAsia" w:ascii="宋体" w:hAnsi="宋体" w:cs="宋体"/>
                <w:b w:val="0"/>
                <w:bCs/>
                <w:sz w:val="21"/>
                <w:szCs w:val="21"/>
                <w:lang w:eastAsia="zh-CN"/>
              </w:rPr>
              <w:t>销售</w:t>
            </w:r>
            <w:r>
              <w:rPr>
                <w:rFonts w:hint="eastAsia" w:ascii="宋体" w:hAnsi="宋体" w:eastAsia="宋体" w:cs="宋体"/>
                <w:b w:val="0"/>
                <w:bCs/>
                <w:sz w:val="21"/>
                <w:szCs w:val="21"/>
              </w:rPr>
              <w:t>的场所，配备适宜的硬件和软件设施设备－信息来源：设施设备清单－具体现状描述：本公司设施设备可以确保环形混凝土电杆的生产和</w:t>
            </w:r>
            <w:r>
              <w:rPr>
                <w:rFonts w:hint="eastAsia" w:ascii="宋体" w:hAnsi="宋体" w:cs="宋体"/>
                <w:b w:val="0"/>
                <w:bCs/>
                <w:sz w:val="21"/>
                <w:szCs w:val="21"/>
                <w:lang w:eastAsia="zh-CN"/>
              </w:rPr>
              <w:t>销售</w:t>
            </w:r>
            <w:r>
              <w:rPr>
                <w:rFonts w:hint="eastAsia" w:ascii="宋体" w:hAnsi="宋体" w:eastAsia="宋体" w:cs="宋体"/>
                <w:b w:val="0"/>
                <w:bCs/>
                <w:sz w:val="21"/>
                <w:szCs w:val="21"/>
              </w:rPr>
              <w:t>基本的质量控制要求－SWOT分析：WT……</w:t>
            </w:r>
          </w:p>
          <w:p>
            <w:pPr>
              <w:spacing w:line="2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外部环境：竞争力－公司类别：环形混凝土电杆的生产和</w:t>
            </w:r>
            <w:r>
              <w:rPr>
                <w:rFonts w:hint="eastAsia" w:ascii="宋体" w:hAnsi="宋体" w:cs="宋体"/>
                <w:b w:val="0"/>
                <w:bCs/>
                <w:sz w:val="21"/>
                <w:szCs w:val="21"/>
                <w:lang w:eastAsia="zh-CN"/>
              </w:rPr>
              <w:t>销售</w:t>
            </w:r>
            <w:r>
              <w:rPr>
                <w:rFonts w:hint="eastAsia" w:ascii="宋体" w:hAnsi="宋体" w:eastAsia="宋体" w:cs="宋体"/>
                <w:b w:val="0"/>
                <w:bCs/>
                <w:sz w:val="21"/>
                <w:szCs w:val="21"/>
              </w:rPr>
              <w:t>，当前市场占有率不高，其他类似企业比较多－信息来源：市场调查和分析－具体现状描述：本公司产品质量稳定，但在市场中同行也多，竞争压力大－SWOT分析：ST……公司管理层已确定了外部和内部因素，已经对经营环境、内外部环境进行分析并提出对策，并进行了监视和评审。实施</w:t>
            </w:r>
            <w:r>
              <w:rPr>
                <w:rFonts w:hint="eastAsia" w:ascii="宋体" w:hAnsi="宋体" w:eastAsia="宋体" w:cs="宋体"/>
                <w:b w:val="0"/>
                <w:bCs/>
                <w:sz w:val="21"/>
                <w:szCs w:val="21"/>
                <w:lang w:eastAsia="zh-CN"/>
              </w:rPr>
              <w:t>以来</w:t>
            </w:r>
            <w:r>
              <w:rPr>
                <w:rFonts w:hint="eastAsia" w:ascii="宋体" w:hAnsi="宋体" w:eastAsia="宋体" w:cs="宋体"/>
                <w:b w:val="0"/>
                <w:bCs/>
                <w:sz w:val="21"/>
                <w:szCs w:val="21"/>
              </w:rPr>
              <w:t>基本没有变化。</w:t>
            </w:r>
          </w:p>
          <w:p>
            <w:pPr>
              <w:spacing w:line="240" w:lineRule="exact"/>
              <w:rPr>
                <w:rFonts w:ascii="宋体" w:hAnsi="宋体"/>
                <w:b/>
                <w:sz w:val="21"/>
                <w:szCs w:val="21"/>
              </w:rPr>
            </w:pPr>
            <w:r>
              <w:rPr>
                <w:rFonts w:hint="eastAsia" w:ascii="宋体" w:hAnsi="宋体" w:eastAsia="宋体" w:cs="宋体"/>
                <w:b w:val="0"/>
                <w:bCs/>
                <w:sz w:val="21"/>
                <w:szCs w:val="21"/>
              </w:rPr>
              <w:t>公司管理体系不适用GB/T19001-2016标准8.3条款，符合企业实际，不影响公司持续提供满足顾客及法定要求的产品的能力。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40" w:lineRule="exact"/>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val="0"/>
                <w:bCs/>
                <w:sz w:val="21"/>
                <w:szCs w:val="21"/>
              </w:rPr>
            </w:pPr>
            <w:r>
              <w:rPr>
                <w:rFonts w:hint="eastAsia" w:ascii="宋体" w:hAnsi="宋体"/>
                <w:b w:val="0"/>
                <w:bCs/>
                <w:sz w:val="21"/>
                <w:szCs w:val="21"/>
              </w:rPr>
              <w:t>相关方包括顾客、所有者、组织中的成员、供应商、银行、合伙人、竞争对手或社会团体或行业协会。在每年的管理评审前，由相关部门负责人进行识别并评估其适用性,具体部门及识别见管理评审输入。主要顾客群：</w:t>
            </w:r>
            <w:r>
              <w:rPr>
                <w:rFonts w:hint="eastAsia" w:ascii="宋体" w:hAnsi="宋体"/>
                <w:b w:val="0"/>
                <w:bCs/>
                <w:sz w:val="21"/>
                <w:szCs w:val="21"/>
                <w:lang w:eastAsia="zh-CN"/>
              </w:rPr>
              <w:t>国家电网</w:t>
            </w:r>
            <w:r>
              <w:rPr>
                <w:rFonts w:hint="eastAsia" w:ascii="宋体" w:hAnsi="宋体"/>
                <w:b w:val="0"/>
                <w:bCs/>
                <w:sz w:val="21"/>
                <w:szCs w:val="21"/>
              </w:rPr>
              <w:t>等。</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相关方期望或要求监测与更新：</w:t>
            </w:r>
            <w:r>
              <w:rPr>
                <w:rFonts w:hint="eastAsia" w:ascii="宋体" w:hAnsi="宋体"/>
                <w:b w:val="0"/>
                <w:bCs/>
                <w:sz w:val="21"/>
                <w:szCs w:val="21"/>
                <w:lang w:eastAsia="zh-CN"/>
              </w:rPr>
              <w:t>综合</w:t>
            </w:r>
            <w:r>
              <w:rPr>
                <w:rFonts w:hint="eastAsia" w:ascii="宋体" w:hAnsi="宋体"/>
                <w:b w:val="0"/>
                <w:bCs/>
                <w:sz w:val="21"/>
                <w:szCs w:val="21"/>
              </w:rPr>
              <w:t>办公室每年在管理评审前组织一次全面的内外部内外部环境要素识别与评审。</w:t>
            </w:r>
          </w:p>
          <w:p>
            <w:pPr>
              <w:spacing w:line="240" w:lineRule="exact"/>
              <w:ind w:firstLine="420" w:firstLineChars="200"/>
              <w:rPr>
                <w:rFonts w:ascii="宋体" w:hAnsi="宋体"/>
                <w:b w:val="0"/>
                <w:bCs/>
                <w:sz w:val="21"/>
                <w:szCs w:val="21"/>
              </w:rPr>
            </w:pPr>
            <w:r>
              <w:rPr>
                <w:rFonts w:hint="eastAsia" w:ascii="宋体" w:hAnsi="宋体"/>
                <w:b w:val="0"/>
                <w:bCs/>
                <w:sz w:val="21"/>
                <w:szCs w:val="21"/>
              </w:rPr>
              <w:t>各部门在获得内外部环境要素信息变化时，应及时告知管理者代表，由管理者代表对《相关方期望或要求识别表》进行修订。</w:t>
            </w:r>
          </w:p>
          <w:p>
            <w:pPr>
              <w:spacing w:line="240" w:lineRule="exact"/>
              <w:rPr>
                <w:rFonts w:ascii="宋体" w:hAnsi="宋体"/>
                <w:b/>
                <w:sz w:val="21"/>
                <w:szCs w:val="21"/>
              </w:rPr>
            </w:pPr>
            <w:r>
              <w:rPr>
                <w:rFonts w:hint="eastAsia" w:ascii="宋体" w:hAnsi="宋体"/>
                <w:b w:val="0"/>
                <w:bCs/>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rPr>
                <w:rFonts w:hint="eastAsia" w:ascii="宋体" w:hAnsi="宋体"/>
                <w:b/>
                <w:sz w:val="21"/>
                <w:szCs w:val="21"/>
              </w:rPr>
            </w:pPr>
            <w:r>
              <w:rPr>
                <w:rFonts w:hint="eastAsia" w:ascii="宋体" w:hAnsi="宋体" w:cs="宋体"/>
                <w:b/>
                <w:sz w:val="21"/>
                <w:szCs w:val="21"/>
                <w:lang w:val="en-US" w:eastAsia="zh-CN"/>
              </w:rPr>
              <w:t>3、</w:t>
            </w:r>
            <w:r>
              <w:rPr>
                <w:rFonts w:hint="eastAsia" w:ascii="宋体" w:hAnsi="宋体" w:eastAsia="宋体" w:cs="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b w:val="0"/>
                <w:bCs/>
                <w:sz w:val="21"/>
                <w:szCs w:val="21"/>
              </w:rPr>
              <w:t>管理方针：“</w:t>
            </w:r>
            <w:r>
              <w:rPr>
                <w:rFonts w:hAnsi="宋体"/>
                <w:b w:val="0"/>
                <w:bCs/>
                <w:kern w:val="2"/>
                <w:sz w:val="21"/>
                <w:szCs w:val="21"/>
              </w:rPr>
              <w:t>质量为先，信誉为重，管理为本，服务为诚</w:t>
            </w:r>
            <w:r>
              <w:rPr>
                <w:rFonts w:hint="eastAsia" w:ascii="宋体" w:hAnsi="宋体"/>
                <w:b w:val="0"/>
                <w:bCs/>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制定了《风险和机遇的应对控制程序》，明确风险和机遇事件的识别方法/途径、风险和机遇事件的评估方式、制定主要风险和机遇事件的应对措施的要求、评价这些措施有效性的方法。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提供了“经营环境分析及对策报告”，已认真交流风险如战略失误及人力资源成本上升、竞争不断加剧等，主要措施确定战略更加科学、通过提高管理水平消化人力资源成本上升；通过差异化策略提高竞争力。效果待观察。</w:t>
            </w:r>
          </w:p>
          <w:p>
            <w:pPr>
              <w:numPr>
                <w:ilvl w:val="0"/>
                <w:numId w:val="0"/>
              </w:numPr>
              <w:spacing w:line="280" w:lineRule="exact"/>
              <w:ind w:leftChars="200"/>
              <w:rPr>
                <w:rFonts w:hint="eastAsia" w:ascii="宋体" w:hAnsi="宋体"/>
                <w:b/>
                <w:sz w:val="21"/>
                <w:szCs w:val="21"/>
              </w:rPr>
            </w:pPr>
            <w:r>
              <w:rPr>
                <w:rFonts w:hint="eastAsia" w:ascii="宋体" w:hAnsi="宋体" w:eastAsia="宋体" w:cs="宋体"/>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11" w:hangingChars="100"/>
              <w:rPr>
                <w:rFonts w:hint="eastAsia"/>
                <w:sz w:val="21"/>
                <w:szCs w:val="21"/>
                <w:highlight w:val="red"/>
                <w:lang w:eastAsia="zh-CN"/>
              </w:rPr>
            </w:pPr>
            <w:r>
              <w:rPr>
                <w:rFonts w:hint="eastAsia" w:ascii="宋体" w:hAnsi="宋体"/>
                <w:b/>
                <w:sz w:val="21"/>
                <w:szCs w:val="21"/>
              </w:rPr>
              <w:t>质量管理体系过程有：</w:t>
            </w:r>
          </w:p>
          <w:p>
            <w:pPr>
              <w:ind w:firstLine="420" w:firstLineChars="200"/>
              <w:rPr>
                <w:rFonts w:hint="eastAsia"/>
                <w:sz w:val="21"/>
                <w:szCs w:val="21"/>
                <w:highlight w:val="red"/>
                <w:lang w:eastAsia="zh-CN"/>
              </w:rPr>
            </w:pPr>
            <w:r>
              <w:rPr>
                <w:rFonts w:hint="eastAsia" w:ascii="宋体" w:hAnsi="宋体" w:cs="宋体"/>
                <w:sz w:val="21"/>
                <w:szCs w:val="21"/>
              </w:rPr>
              <w:t>组织依据：GB/T19001-2016标准建立并正式实施管理体系。同时根据自身的实际情况和标准的要求组织工作人员编制了管理手册、作业文件和记录表格，制定了管理方针和管理目标。通过对过程监测结果进行分析，公司管理体系不断改进。及</w:t>
            </w:r>
            <w:r>
              <w:rPr>
                <w:rFonts w:hint="eastAsia" w:ascii="宋体" w:hAnsi="宋体" w:cs="宋体"/>
                <w:bCs/>
                <w:color w:val="000000" w:themeColor="text1"/>
                <w:sz w:val="21"/>
                <w:szCs w:val="21"/>
              </w:rPr>
              <w:t>基础设施、机构、职责、人力资源、文件、产品和服务的要求、外部提供的产品和服务、产品放行、不合格输</w:t>
            </w:r>
            <w:r>
              <w:rPr>
                <w:rFonts w:hint="eastAsia" w:ascii="宋体" w:hAnsi="宋体" w:cs="宋体"/>
                <w:bCs/>
                <w:color w:val="000000" w:themeColor="text1"/>
                <w:sz w:val="21"/>
                <w:szCs w:val="21"/>
                <w:lang w:eastAsia="zh-CN"/>
              </w:rPr>
              <w:t>，</w:t>
            </w:r>
            <w:r>
              <w:rPr>
                <w:rFonts w:hint="eastAsia" w:ascii="宋体" w:hAnsi="宋体" w:cs="宋体"/>
                <w:bCs/>
                <w:color w:val="000000" w:themeColor="text1"/>
                <w:sz w:val="21"/>
                <w:szCs w:val="21"/>
              </w:rPr>
              <w:t>出控制、绩效评价、改进等。</w:t>
            </w:r>
          </w:p>
          <w:p>
            <w:pPr>
              <w:tabs>
                <w:tab w:val="left" w:pos="540"/>
              </w:tabs>
              <w:spacing w:line="300" w:lineRule="exact"/>
              <w:ind w:left="240" w:leftChars="100" w:firstLine="240" w:firstLineChars="100"/>
              <w:rPr>
                <w:rFonts w:hint="eastAsia"/>
                <w:sz w:val="21"/>
                <w:szCs w:val="21"/>
                <w:highlight w:val="red"/>
                <w:lang w:eastAsia="zh-CN"/>
              </w:rPr>
            </w:pPr>
            <w:r>
              <w:rPr>
                <w:rFonts w:hint="eastAsia" w:ascii="宋体" w:hAnsi="宋体" w:eastAsia="宋体" w:cs="宋体"/>
                <w:b w:val="0"/>
                <w:bCs/>
                <w:sz w:val="24"/>
                <w:szCs w:val="24"/>
              </w:rPr>
              <w:t>配料→搅拌→装筋→浇灌→离心成型→养护→脱模→成品检验</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val="0"/>
                <w:bCs/>
                <w:sz w:val="21"/>
                <w:szCs w:val="21"/>
                <w:lang w:eastAsia="zh-CN"/>
              </w:rPr>
              <w:t>离心成型</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eastAsia="宋体" w:cs="宋体"/>
                <w:b w:val="0"/>
                <w:bCs/>
                <w:sz w:val="24"/>
                <w:szCs w:val="24"/>
                <w:highlight w:val="none"/>
              </w:rPr>
              <w:t>销售</w:t>
            </w:r>
            <w:r>
              <w:rPr>
                <w:rFonts w:hint="eastAsia" w:ascii="宋体" w:hAnsi="宋体" w:eastAsia="宋体" w:cs="宋体"/>
                <w:b w:val="0"/>
                <w:bCs/>
                <w:sz w:val="24"/>
                <w:szCs w:val="24"/>
                <w:highlight w:val="none"/>
                <w:lang w:eastAsia="zh-CN"/>
              </w:rPr>
              <w:t>、焊接</w:t>
            </w:r>
            <w:r>
              <w:rPr>
                <w:rFonts w:hint="eastAsia" w:ascii="宋体" w:hAnsi="宋体" w:eastAsia="宋体" w:cs="宋体"/>
                <w:b w:val="0"/>
                <w:bCs/>
                <w:sz w:val="24"/>
                <w:szCs w:val="24"/>
                <w:highlight w:val="none"/>
              </w:rPr>
              <w:t>过程</w:t>
            </w:r>
          </w:p>
          <w:p>
            <w:pPr>
              <w:tabs>
                <w:tab w:val="left" w:pos="540"/>
              </w:tabs>
              <w:spacing w:line="300" w:lineRule="exact"/>
              <w:ind w:left="211" w:hanging="211" w:hangingChars="100"/>
              <w:rPr>
                <w:rFonts w:ascii="宋体" w:hAnsi="宋体"/>
                <w:b/>
                <w:sz w:val="21"/>
                <w:szCs w:val="21"/>
              </w:rPr>
            </w:pPr>
            <w:r>
              <w:rPr>
                <w:rFonts w:hint="eastAsia" w:ascii="宋体" w:hAnsi="宋体" w:eastAsia="宋体" w:cs="宋体"/>
                <w:b/>
                <w:bCs w:val="0"/>
                <w:sz w:val="21"/>
                <w:szCs w:val="21"/>
              </w:rPr>
              <w:t>删减条款是</w:t>
            </w:r>
            <w:r>
              <w:rPr>
                <w:rFonts w:hint="eastAsia" w:ascii="宋体" w:hAnsi="宋体" w:cs="宋体"/>
                <w:b/>
                <w:bCs w:val="0"/>
                <w:sz w:val="21"/>
                <w:szCs w:val="21"/>
                <w:lang w:eastAsia="zh-CN"/>
              </w:rPr>
              <w:t>：</w:t>
            </w:r>
            <w:r>
              <w:rPr>
                <w:rFonts w:hint="eastAsia" w:ascii="宋体" w:hAnsi="宋体" w:eastAsia="宋体" w:cs="宋体"/>
                <w:sz w:val="21"/>
                <w:szCs w:val="21"/>
                <w:lang w:val="en-US" w:eastAsia="zh-CN"/>
              </w:rPr>
              <w:t>8.3，</w:t>
            </w:r>
            <w:r>
              <w:rPr>
                <w:rFonts w:hint="eastAsia" w:ascii="宋体" w:hAnsi="宋体" w:eastAsia="宋体" w:cs="宋体"/>
                <w:b/>
                <w:bCs/>
                <w:sz w:val="21"/>
                <w:szCs w:val="21"/>
              </w:rPr>
              <w:t>删减理由：</w:t>
            </w:r>
            <w:r>
              <w:rPr>
                <w:rFonts w:hint="eastAsia" w:ascii="宋体" w:hAnsi="宋体" w:eastAsia="宋体" w:cs="宋体"/>
                <w:sz w:val="21"/>
                <w:szCs w:val="21"/>
              </w:rPr>
              <w:t>经识别确认公司所生产的</w:t>
            </w:r>
            <w:r>
              <w:rPr>
                <w:rFonts w:hint="eastAsia" w:ascii="宋体" w:hAnsi="宋体" w:eastAsia="宋体" w:cs="宋体"/>
                <w:sz w:val="21"/>
                <w:szCs w:val="21"/>
                <w:lang w:eastAsia="zh-CN"/>
              </w:rPr>
              <w:t>环形混凝土电杆</w:t>
            </w:r>
            <w:r>
              <w:rPr>
                <w:rFonts w:hint="eastAsia" w:ascii="宋体" w:hAnsi="宋体" w:eastAsia="宋体" w:cs="宋体"/>
                <w:sz w:val="21"/>
                <w:szCs w:val="21"/>
              </w:rPr>
              <w:t>产品，均按照国家标准的要求组织实施生产，不存在产品的设计和开发，故删减了</w:t>
            </w:r>
            <w:r>
              <w:rPr>
                <w:rFonts w:hint="eastAsia" w:ascii="宋体" w:hAnsi="宋体" w:eastAsia="宋体" w:cs="宋体"/>
                <w:color w:val="auto"/>
                <w:sz w:val="21"/>
                <w:szCs w:val="21"/>
              </w:rPr>
              <w:t>GB/T19001-2016标准8.3条款</w:t>
            </w:r>
            <w:r>
              <w:rPr>
                <w:rFonts w:hint="eastAsia" w:ascii="宋体" w:hAnsi="宋体" w:eastAsia="宋体" w:cs="宋体"/>
                <w:sz w:val="21"/>
                <w:szCs w:val="21"/>
              </w:rPr>
              <w:t>。删减后不影响满足顾客和适用的法律法规的要求，也不影响公司承担满足顾客和适用的法律法规的要求的责任。</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eastAsia="宋体" w:cs="宋体"/>
                <w:b/>
                <w:szCs w:val="21"/>
              </w:rPr>
              <w:t>■</w:t>
            </w:r>
            <w:r>
              <w:rPr>
                <w:rFonts w:hint="eastAsia" w:ascii="宋体" w:hAnsi="宋体"/>
                <w:b/>
                <w:szCs w:val="21"/>
              </w:rPr>
              <w:t>法律法规获取充分</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eastAsia="宋体" w:cs="宋体"/>
                <w:b/>
                <w:szCs w:val="21"/>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eastAsia="宋体" w:cs="宋体"/>
                <w:b/>
                <w:szCs w:val="21"/>
              </w:rPr>
              <w:t>■</w:t>
            </w:r>
            <w:r>
              <w:rPr>
                <w:rFonts w:hint="eastAsia" w:ascii="宋体" w:hAnsi="宋体"/>
                <w:b/>
                <w:szCs w:val="21"/>
              </w:rPr>
              <w:t>确定□未确定法律法规要求的具体条款，</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法律法规的宣传方式：■会议    ■网络    ■公示   ■其他</w:t>
            </w:r>
          </w:p>
          <w:p>
            <w:pPr>
              <w:tabs>
                <w:tab w:val="left" w:pos="0"/>
              </w:tabs>
              <w:spacing w:line="240" w:lineRule="exact"/>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rPr>
                <w:rFonts w:hint="eastAsia" w:ascii="宋体" w:hAnsi="宋体"/>
                <w:b/>
                <w:sz w:val="21"/>
                <w:szCs w:val="21"/>
              </w:rPr>
            </w:pPr>
          </w:p>
          <w:p>
            <w:pPr>
              <w:spacing w:line="240" w:lineRule="exact"/>
              <w:ind w:firstLine="420" w:firstLineChars="200"/>
              <w:rPr>
                <w:rFonts w:ascii="宋体" w:hAnsi="宋体"/>
                <w:b/>
                <w:sz w:val="21"/>
                <w:szCs w:val="21"/>
              </w:rPr>
            </w:pPr>
            <w:r>
              <w:rPr>
                <w:rFonts w:hint="eastAsia"/>
                <w:sz w:val="21"/>
                <w:szCs w:val="21"/>
              </w:rPr>
              <w:t>在公司各职能和层次上建立了质量目标，并制定了相应考核办法。基本适宜公司特点。目标具有可测量性，对目标完成情况进行了考核。目前目标均考核完成。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sz w:val="21"/>
                <w:szCs w:val="21"/>
              </w:rPr>
            </w:pPr>
            <w:r>
              <w:rPr>
                <w:rFonts w:hint="eastAsia"/>
                <w:sz w:val="21"/>
                <w:szCs w:val="21"/>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rPr>
                <w:rFonts w:ascii="宋体" w:hAnsi="宋体"/>
                <w:b/>
                <w:sz w:val="21"/>
                <w:szCs w:val="21"/>
              </w:rPr>
            </w:pPr>
            <w:r>
              <w:rPr>
                <w:rFonts w:hint="eastAsia"/>
                <w:sz w:val="21"/>
                <w:szCs w:val="21"/>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sz w:val="21"/>
                <w:szCs w:val="21"/>
              </w:rPr>
              <w:t>该公司员工</w:t>
            </w:r>
            <w:r>
              <w:rPr>
                <w:rFonts w:hint="eastAsia"/>
                <w:sz w:val="21"/>
                <w:szCs w:val="21"/>
                <w:lang w:val="en-US" w:eastAsia="zh-CN"/>
              </w:rPr>
              <w:t>22</w:t>
            </w:r>
            <w:r>
              <w:rPr>
                <w:rFonts w:hint="eastAsia"/>
                <w:sz w:val="21"/>
                <w:szCs w:val="21"/>
              </w:rPr>
              <w:t>人，管理人员</w:t>
            </w:r>
            <w:r>
              <w:rPr>
                <w:rFonts w:hint="eastAsia"/>
                <w:sz w:val="21"/>
                <w:szCs w:val="21"/>
                <w:lang w:val="en-US" w:eastAsia="zh-CN"/>
              </w:rPr>
              <w:t>5</w:t>
            </w:r>
            <w:r>
              <w:rPr>
                <w:rFonts w:hint="eastAsia"/>
                <w:sz w:val="21"/>
                <w:szCs w:val="21"/>
              </w:rPr>
              <w:t>人。</w:t>
            </w:r>
            <w:r>
              <w:rPr>
                <w:rFonts w:hint="eastAsia"/>
                <w:sz w:val="21"/>
                <w:szCs w:val="21"/>
                <w:lang w:eastAsia="zh-CN"/>
              </w:rPr>
              <w:t>焊工</w:t>
            </w:r>
            <w:r>
              <w:rPr>
                <w:rFonts w:hint="eastAsia"/>
                <w:sz w:val="21"/>
                <w:szCs w:val="21"/>
              </w:rPr>
              <w:t>等持证上岗。生产人员进行三级安全教育，人力资源满足要求。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1"/>
                <w:szCs w:val="21"/>
              </w:rPr>
            </w:pPr>
          </w:p>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val="0"/>
                <w:bCs/>
                <w:sz w:val="21"/>
                <w:szCs w:val="21"/>
              </w:rPr>
              <w:t>主要生产设备：</w:t>
            </w:r>
            <w:r>
              <w:rPr>
                <w:rFonts w:hint="eastAsia" w:ascii="宋体" w:hAnsi="宋体" w:eastAsia="宋体" w:cs="宋体"/>
                <w:b w:val="0"/>
                <w:bCs/>
                <w:sz w:val="21"/>
                <w:szCs w:val="21"/>
                <w:highlight w:val="none"/>
              </w:rPr>
              <w:t>离心机、搅拌机、</w:t>
            </w:r>
            <w:r>
              <w:rPr>
                <w:rFonts w:hint="eastAsia" w:ascii="宋体" w:hAnsi="宋体" w:cs="宋体"/>
                <w:b w:val="0"/>
                <w:bCs/>
                <w:sz w:val="21"/>
                <w:szCs w:val="21"/>
                <w:highlight w:val="none"/>
                <w:lang w:eastAsia="zh-CN"/>
              </w:rPr>
              <w:t>切割机</w:t>
            </w:r>
            <w:r>
              <w:rPr>
                <w:rFonts w:hint="eastAsia" w:ascii="宋体" w:hAnsi="宋体" w:eastAsia="宋体" w:cs="宋体"/>
                <w:b w:val="0"/>
                <w:bCs/>
                <w:sz w:val="21"/>
                <w:szCs w:val="21"/>
                <w:highlight w:val="none"/>
              </w:rPr>
              <w:t>、装浆机、电动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rPr>
              <w:t>等，设备适宜。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val="0"/>
                <w:bCs/>
                <w:sz w:val="21"/>
                <w:szCs w:val="21"/>
              </w:rPr>
            </w:pPr>
            <w:r>
              <w:rPr>
                <w:rFonts w:hint="eastAsia" w:ascii="宋体" w:hAnsi="宋体"/>
                <w:b w:val="0"/>
                <w:bCs/>
                <w:sz w:val="21"/>
                <w:szCs w:val="21"/>
              </w:rPr>
              <w:t>1.车间内有：</w:t>
            </w:r>
            <w:r>
              <w:rPr>
                <w:rFonts w:hint="eastAsia" w:ascii="宋体" w:hAnsi="宋体" w:eastAsia="宋体" w:cs="宋体"/>
                <w:b w:val="0"/>
                <w:bCs/>
                <w:sz w:val="21"/>
                <w:szCs w:val="21"/>
                <w:highlight w:val="none"/>
              </w:rPr>
              <w:t>离心机、搅拌机、</w:t>
            </w:r>
            <w:r>
              <w:rPr>
                <w:rFonts w:hint="eastAsia" w:ascii="宋体" w:hAnsi="宋体" w:cs="宋体"/>
                <w:b w:val="0"/>
                <w:bCs/>
                <w:sz w:val="21"/>
                <w:szCs w:val="21"/>
                <w:highlight w:val="none"/>
                <w:lang w:eastAsia="zh-CN"/>
              </w:rPr>
              <w:t>切割机</w:t>
            </w:r>
            <w:r>
              <w:rPr>
                <w:rFonts w:hint="eastAsia" w:ascii="宋体" w:hAnsi="宋体" w:eastAsia="宋体" w:cs="宋体"/>
                <w:b w:val="0"/>
                <w:bCs/>
                <w:sz w:val="21"/>
                <w:szCs w:val="21"/>
                <w:highlight w:val="none"/>
              </w:rPr>
              <w:t>、装浆机、电动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rPr>
              <w:t>等，设备布局合理，状态良好，设备附近粘贴有设备安全操作规程等。</w:t>
            </w:r>
          </w:p>
          <w:p>
            <w:pPr>
              <w:spacing w:line="240" w:lineRule="exact"/>
              <w:ind w:firstLine="420" w:firstLineChars="200"/>
              <w:rPr>
                <w:rFonts w:ascii="宋体" w:hAnsi="宋体"/>
                <w:b w:val="0"/>
                <w:bCs/>
                <w:sz w:val="21"/>
                <w:szCs w:val="21"/>
              </w:rPr>
            </w:pPr>
            <w:r>
              <w:rPr>
                <w:rFonts w:hint="eastAsia" w:ascii="宋体" w:hAnsi="宋体"/>
                <w:b w:val="0"/>
                <w:bCs/>
                <w:sz w:val="21"/>
                <w:szCs w:val="21"/>
              </w:rPr>
              <w:t>2.生产车间环境干净、整洁，基本满足生产洁净空间的需要。</w:t>
            </w:r>
          </w:p>
          <w:p>
            <w:pPr>
              <w:spacing w:line="240" w:lineRule="exact"/>
              <w:ind w:firstLine="420" w:firstLineChars="200"/>
              <w:rPr>
                <w:rFonts w:ascii="宋体" w:hAnsi="宋体"/>
                <w:b w:val="0"/>
                <w:bCs/>
                <w:sz w:val="21"/>
                <w:szCs w:val="21"/>
              </w:rPr>
            </w:pPr>
            <w:r>
              <w:rPr>
                <w:rFonts w:hint="eastAsia" w:ascii="宋体" w:hAnsi="宋体"/>
                <w:b w:val="0"/>
                <w:bCs/>
                <w:sz w:val="21"/>
                <w:szCs w:val="21"/>
              </w:rPr>
              <w:t>3.成品库房，产品放置整齐、规范、稳固。</w:t>
            </w:r>
          </w:p>
          <w:p>
            <w:pPr>
              <w:spacing w:line="240" w:lineRule="exact"/>
              <w:ind w:firstLine="420" w:firstLineChars="200"/>
              <w:rPr>
                <w:rFonts w:ascii="宋体" w:hAnsi="宋体"/>
                <w:b w:val="0"/>
                <w:bCs/>
                <w:sz w:val="21"/>
                <w:szCs w:val="21"/>
              </w:rPr>
            </w:pPr>
            <w:r>
              <w:rPr>
                <w:rFonts w:hint="eastAsia" w:ascii="宋体" w:hAnsi="宋体"/>
                <w:b w:val="0"/>
                <w:bCs/>
                <w:sz w:val="21"/>
                <w:szCs w:val="21"/>
              </w:rPr>
              <w:t>4.查生产车间布局合理，各类生产设备设施布置合理、物资摆放整齐，照明、采光符合生产要求，均配备了有效、足够数量的灭火器。</w:t>
            </w:r>
          </w:p>
          <w:p>
            <w:pPr>
              <w:spacing w:line="240" w:lineRule="exact"/>
              <w:ind w:firstLine="420" w:firstLineChars="200"/>
              <w:rPr>
                <w:rFonts w:ascii="宋体" w:hAnsi="宋体"/>
                <w:b w:val="0"/>
                <w:bCs/>
                <w:sz w:val="21"/>
                <w:szCs w:val="21"/>
              </w:rPr>
            </w:pPr>
            <w:r>
              <w:rPr>
                <w:rFonts w:hint="eastAsia" w:ascii="宋体" w:hAnsi="宋体"/>
                <w:b w:val="0"/>
                <w:bCs/>
                <w:sz w:val="21"/>
                <w:szCs w:val="21"/>
              </w:rPr>
              <w:t>5.查办公区各场所地面整洁、墙壁干净能满足工作需要。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420" w:firstLineChars="200"/>
              <w:rPr>
                <w:rFonts w:hint="eastAsia" w:ascii="宋体" w:cs="宋体"/>
                <w:b w:val="0"/>
                <w:bCs w:val="0"/>
                <w:kern w:val="0"/>
                <w:sz w:val="21"/>
                <w:szCs w:val="21"/>
                <w:highlight w:val="none"/>
                <w:lang w:val="en-US" w:eastAsia="zh-CN"/>
              </w:rPr>
            </w:pPr>
          </w:p>
          <w:p>
            <w:pPr>
              <w:spacing w:line="240" w:lineRule="exact"/>
              <w:ind w:firstLine="420" w:firstLineChars="200"/>
              <w:rPr>
                <w:rFonts w:ascii="宋体" w:hAnsi="宋体"/>
                <w:b/>
                <w:sz w:val="21"/>
                <w:szCs w:val="21"/>
              </w:rPr>
            </w:pPr>
            <w:r>
              <w:rPr>
                <w:rFonts w:hint="eastAsia" w:ascii="宋体" w:cs="宋体"/>
                <w:b w:val="0"/>
                <w:bCs w:val="0"/>
                <w:kern w:val="0"/>
                <w:sz w:val="21"/>
                <w:szCs w:val="21"/>
                <w:highlight w:val="none"/>
                <w:lang w:val="en-US" w:eastAsia="zh-CN"/>
              </w:rPr>
              <w:t>游标卡尺、钢卷尺</w:t>
            </w:r>
            <w:r>
              <w:rPr>
                <w:rFonts w:hint="eastAsia" w:ascii="宋体" w:hAnsi="宋体" w:eastAsia="宋体" w:cs="宋体"/>
                <w:b w:val="0"/>
                <w:bCs w:val="0"/>
                <w:sz w:val="21"/>
                <w:szCs w:val="21"/>
                <w:highlight w:val="none"/>
              </w:rPr>
              <w:t>等</w:t>
            </w:r>
            <w:r>
              <w:rPr>
                <w:rFonts w:hint="eastAsia" w:ascii="宋体" w:hAnsi="宋体" w:cs="宋体"/>
                <w:b w:val="0"/>
                <w:bCs w:val="0"/>
                <w:sz w:val="21"/>
                <w:szCs w:val="21"/>
                <w:highlight w:val="none"/>
                <w:lang w:val="en-US" w:eastAsia="zh-CN"/>
              </w:rPr>
              <w:t>,</w:t>
            </w:r>
            <w:r>
              <w:rPr>
                <w:rFonts w:hint="eastAsia" w:ascii="宋体" w:hAnsi="宋体"/>
                <w:b w:val="0"/>
                <w:bCs w:val="0"/>
                <w:sz w:val="21"/>
                <w:szCs w:val="21"/>
              </w:rPr>
              <w:t>能够满足产品符合性要求。检定时间有效，见复印件。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pPr>
              <w:spacing w:line="240" w:lineRule="exact"/>
              <w:ind w:firstLine="420" w:firstLineChars="200"/>
              <w:rPr>
                <w:rFonts w:hint="eastAsia" w:ascii="宋体" w:hAnsi="宋体"/>
                <w:b w:val="0"/>
                <w:bCs/>
                <w:sz w:val="21"/>
                <w:szCs w:val="21"/>
              </w:rPr>
            </w:pPr>
          </w:p>
          <w:p>
            <w:pPr>
              <w:spacing w:line="240" w:lineRule="exact"/>
              <w:ind w:firstLine="420" w:firstLineChars="200"/>
              <w:rPr>
                <w:rFonts w:ascii="宋体" w:hAnsi="宋体"/>
                <w:b/>
                <w:sz w:val="21"/>
                <w:szCs w:val="21"/>
              </w:rPr>
            </w:pPr>
            <w:r>
              <w:rPr>
                <w:rFonts w:hint="eastAsia" w:ascii="宋体" w:hAnsi="宋体"/>
                <w:b w:val="0"/>
                <w:bCs/>
                <w:sz w:val="21"/>
                <w:szCs w:val="21"/>
              </w:rPr>
              <w:t>公司确定运行过程所需的知识，内部来源包括公司运作准则（管理制度、工作记录等）、专业技术应用、生产过程管理等。外部来源包括外来资料、法律法规、市场信息等。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ind w:firstLine="420" w:firstLineChars="200"/>
              <w:rPr>
                <w:rFonts w:ascii="宋体" w:hAnsi="宋体"/>
                <w:b/>
                <w:sz w:val="21"/>
                <w:szCs w:val="21"/>
              </w:rPr>
            </w:pPr>
            <w:r>
              <w:rPr>
                <w:rFonts w:hint="eastAsia" w:ascii="宋体" w:hAnsi="宋体"/>
                <w:b w:val="0"/>
                <w:bCs/>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ind w:firstLine="420" w:firstLineChars="200"/>
              <w:rPr>
                <w:rFonts w:hint="eastAsia" w:ascii="宋体" w:hAnsi="宋体"/>
                <w:b w:val="0"/>
                <w:bCs/>
                <w:sz w:val="21"/>
                <w:szCs w:val="21"/>
              </w:rPr>
            </w:pPr>
          </w:p>
          <w:p>
            <w:pPr>
              <w:spacing w:line="240" w:lineRule="exact"/>
              <w:ind w:firstLine="420" w:firstLineChars="200"/>
              <w:rPr>
                <w:rFonts w:ascii="宋体" w:hAnsi="宋体"/>
                <w:b/>
                <w:sz w:val="21"/>
                <w:szCs w:val="21"/>
              </w:rPr>
            </w:pPr>
            <w:r>
              <w:rPr>
                <w:rFonts w:hint="eastAsia" w:ascii="宋体" w:hAnsi="宋体"/>
                <w:b w:val="0"/>
                <w:bCs/>
                <w:sz w:val="21"/>
                <w:szCs w:val="21"/>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rPr>
                <w:rFonts w:hint="eastAsia" w:ascii="宋体" w:hAnsi="宋体" w:eastAsia="宋体" w:cs="宋体"/>
                <w:sz w:val="21"/>
                <w:szCs w:val="21"/>
              </w:rPr>
            </w:pPr>
            <w:r>
              <w:rPr>
                <w:rFonts w:hint="eastAsia" w:ascii="宋体" w:hAnsi="宋体" w:eastAsia="宋体" w:cs="宋体"/>
                <w:sz w:val="21"/>
                <w:szCs w:val="21"/>
              </w:rPr>
              <w:t>1. 管理方针：“质量为先，信誉为重，管理为本，服务为诚”</w:t>
            </w:r>
          </w:p>
          <w:p>
            <w:pPr>
              <w:rPr>
                <w:rFonts w:hint="eastAsia" w:ascii="宋体" w:hAnsi="宋体" w:eastAsia="宋体" w:cs="宋体"/>
                <w:sz w:val="21"/>
                <w:szCs w:val="21"/>
              </w:rPr>
            </w:pPr>
            <w:r>
              <w:rPr>
                <w:rFonts w:hint="eastAsia" w:ascii="宋体" w:hAnsi="宋体" w:eastAsia="宋体" w:cs="宋体"/>
                <w:sz w:val="21"/>
                <w:szCs w:val="21"/>
              </w:rPr>
              <w:t>2. 管理方针与企业的经营宗旨相适应，协调；</w:t>
            </w:r>
          </w:p>
          <w:p>
            <w:pPr>
              <w:rPr>
                <w:rFonts w:hint="eastAsia" w:ascii="宋体" w:hAnsi="宋体" w:eastAsia="宋体" w:cs="宋体"/>
                <w:sz w:val="21"/>
                <w:szCs w:val="21"/>
              </w:rPr>
            </w:pPr>
            <w:r>
              <w:rPr>
                <w:rFonts w:hint="eastAsia" w:ascii="宋体" w:hAnsi="宋体" w:eastAsia="宋体" w:cs="宋体"/>
                <w:sz w:val="21"/>
                <w:szCs w:val="21"/>
              </w:rPr>
              <w:t>3. 通过会议传达，沟通，让全体员工理解执行。并定期进行评审（一般一年一次）。</w:t>
            </w:r>
          </w:p>
          <w:p>
            <w:pPr>
              <w:spacing w:line="300" w:lineRule="exact"/>
              <w:ind w:left="1"/>
              <w:rPr>
                <w:rFonts w:hint="eastAsia" w:ascii="宋体" w:hAnsi="宋体"/>
                <w:b/>
                <w:sz w:val="21"/>
                <w:szCs w:val="21"/>
              </w:rPr>
            </w:pPr>
            <w:r>
              <w:rPr>
                <w:rFonts w:hint="eastAsia" w:ascii="宋体" w:hAnsi="宋体" w:eastAsia="宋体" w:cs="宋体"/>
                <w:sz w:val="21"/>
                <w:szCs w:val="21"/>
              </w:rPr>
              <w:t xml:space="preserve">管理评审结论，方针有效、适宜和充分。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rPr>
                <w:rFonts w:hint="eastAsia" w:ascii="宋体" w:hAnsi="宋体" w:eastAsia="宋体" w:cs="宋体"/>
                <w:sz w:val="21"/>
                <w:szCs w:val="21"/>
              </w:rPr>
            </w:pPr>
            <w:r>
              <w:rPr>
                <w:rFonts w:hint="eastAsia" w:ascii="宋体" w:hAnsi="宋体" w:eastAsia="宋体" w:cs="宋体"/>
                <w:b/>
                <w:bCs/>
                <w:sz w:val="21"/>
                <w:szCs w:val="21"/>
              </w:rPr>
              <w:t>内部沟通的情况：</w:t>
            </w:r>
            <w:r>
              <w:rPr>
                <w:rFonts w:hint="eastAsia" w:ascii="宋体" w:hAnsi="宋体" w:cs="宋体"/>
                <w:sz w:val="21"/>
                <w:szCs w:val="21"/>
                <w:lang w:eastAsia="zh-CN"/>
              </w:rPr>
              <w:t>有效</w:t>
            </w:r>
            <w:r>
              <w:rPr>
                <w:rFonts w:hint="eastAsia" w:ascii="宋体" w:hAnsi="宋体" w:cs="宋体"/>
                <w:sz w:val="21"/>
                <w:szCs w:val="21"/>
                <w:lang w:val="en-US" w:eastAsia="zh-CN"/>
              </w:rPr>
              <w:t xml:space="preserve">  </w:t>
            </w:r>
            <w:r>
              <w:rPr>
                <w:rFonts w:hint="eastAsia" w:ascii="宋体" w:hAnsi="宋体" w:eastAsia="宋体" w:cs="宋体"/>
                <w:b/>
                <w:bCs/>
                <w:sz w:val="21"/>
                <w:szCs w:val="21"/>
              </w:rPr>
              <w:t>内部沟通方式：</w:t>
            </w:r>
            <w:r>
              <w:rPr>
                <w:rFonts w:hint="eastAsia" w:ascii="宋体" w:hAnsi="宋体" w:eastAsia="宋体" w:cs="宋体"/>
                <w:sz w:val="21"/>
                <w:szCs w:val="21"/>
              </w:rPr>
              <w:t>会议、公告栏、发放文件、网络等</w:t>
            </w:r>
          </w:p>
          <w:p>
            <w:pPr>
              <w:rPr>
                <w:rFonts w:ascii="宋体" w:hAnsi="宋体"/>
                <w:b/>
                <w:sz w:val="21"/>
                <w:szCs w:val="21"/>
              </w:rPr>
            </w:pPr>
            <w:r>
              <w:rPr>
                <w:rFonts w:hint="eastAsia" w:ascii="宋体" w:hAnsi="宋体" w:eastAsia="宋体" w:cs="宋体"/>
                <w:b/>
                <w:bCs/>
                <w:sz w:val="21"/>
                <w:szCs w:val="21"/>
              </w:rPr>
              <w:t>内部沟通的效果：</w:t>
            </w:r>
            <w:r>
              <w:rPr>
                <w:rFonts w:hint="eastAsia" w:ascii="宋体" w:hAnsi="宋体" w:eastAsia="宋体" w:cs="宋体"/>
                <w:sz w:val="21"/>
                <w:szCs w:val="21"/>
              </w:rPr>
              <w:t>能够得到有效沟通</w:t>
            </w:r>
          </w:p>
          <w:p>
            <w:pPr>
              <w:rPr>
                <w:rFonts w:hint="eastAsia" w:ascii="宋体" w:hAnsi="宋体" w:eastAsia="宋体" w:cs="宋体"/>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eastAsia="宋体" w:cs="宋体"/>
                <w:sz w:val="21"/>
                <w:szCs w:val="21"/>
              </w:rPr>
              <w:t>顾客满意度调查表的发放、电话回访、到顾客现场进行询问等形式</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tabs>
                <w:tab w:val="left" w:pos="540"/>
              </w:tabs>
              <w:spacing w:line="300" w:lineRule="exact"/>
              <w:ind w:left="209" w:leftChars="87" w:firstLine="210" w:firstLineChars="100"/>
              <w:rPr>
                <w:rFonts w:hint="eastAsia"/>
                <w:sz w:val="21"/>
                <w:szCs w:val="21"/>
              </w:rPr>
            </w:pPr>
          </w:p>
          <w:p>
            <w:pPr>
              <w:tabs>
                <w:tab w:val="left" w:pos="540"/>
              </w:tabs>
              <w:spacing w:line="300" w:lineRule="exact"/>
              <w:ind w:left="209" w:leftChars="87" w:firstLine="210" w:firstLineChars="100"/>
              <w:rPr>
                <w:rFonts w:hint="eastAsia"/>
                <w:sz w:val="21"/>
                <w:szCs w:val="21"/>
              </w:rPr>
            </w:pPr>
            <w:r>
              <w:rPr>
                <w:rFonts w:hint="eastAsia"/>
                <w:sz w:val="21"/>
                <w:szCs w:val="21"/>
              </w:rPr>
              <w:t>公司识别关键过程：</w:t>
            </w:r>
            <w:r>
              <w:rPr>
                <w:rFonts w:hint="eastAsia" w:ascii="宋体" w:hAnsi="宋体"/>
                <w:b w:val="0"/>
                <w:bCs/>
                <w:sz w:val="21"/>
                <w:szCs w:val="21"/>
                <w:lang w:eastAsia="zh-CN"/>
              </w:rPr>
              <w:t>离心成型</w:t>
            </w:r>
            <w:r>
              <w:rPr>
                <w:rFonts w:hint="eastAsia"/>
                <w:sz w:val="21"/>
                <w:szCs w:val="21"/>
              </w:rPr>
              <w:t>过程，需要确认的过程：</w:t>
            </w:r>
            <w:r>
              <w:rPr>
                <w:rFonts w:hint="eastAsia" w:ascii="宋体" w:hAnsi="宋体" w:eastAsia="宋体" w:cs="宋体"/>
                <w:b w:val="0"/>
                <w:bCs/>
                <w:sz w:val="21"/>
                <w:szCs w:val="21"/>
                <w:highlight w:val="none"/>
              </w:rPr>
              <w:t>销售</w:t>
            </w:r>
            <w:r>
              <w:rPr>
                <w:rFonts w:hint="eastAsia" w:ascii="宋体" w:hAnsi="宋体" w:eastAsia="宋体" w:cs="宋体"/>
                <w:b w:val="0"/>
                <w:bCs/>
                <w:sz w:val="21"/>
                <w:szCs w:val="21"/>
                <w:highlight w:val="none"/>
                <w:lang w:eastAsia="zh-CN"/>
              </w:rPr>
              <w:t>、焊接</w:t>
            </w:r>
            <w:r>
              <w:rPr>
                <w:rFonts w:hint="eastAsia" w:ascii="宋体" w:hAnsi="宋体" w:eastAsia="宋体" w:cs="宋体"/>
                <w:b w:val="0"/>
                <w:bCs/>
                <w:sz w:val="21"/>
                <w:szCs w:val="21"/>
                <w:highlight w:val="none"/>
              </w:rPr>
              <w:t>过程</w:t>
            </w:r>
            <w:r>
              <w:rPr>
                <w:rFonts w:hint="eastAsia"/>
                <w:sz w:val="21"/>
                <w:szCs w:val="21"/>
              </w:rPr>
              <w:t>，对其过程进行了重点</w:t>
            </w:r>
          </w:p>
          <w:p>
            <w:pPr>
              <w:spacing w:line="240" w:lineRule="exact"/>
              <w:rPr>
                <w:rFonts w:ascii="宋体" w:hAnsi="宋体"/>
                <w:b/>
                <w:sz w:val="21"/>
                <w:szCs w:val="21"/>
              </w:rPr>
            </w:pPr>
            <w:r>
              <w:rPr>
                <w:rFonts w:hint="eastAsia"/>
                <w:sz w:val="21"/>
                <w:szCs w:val="21"/>
              </w:rPr>
              <w:t>有效控制，控制有效。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ind w:firstLine="420" w:firstLineChars="200"/>
              <w:rPr>
                <w:sz w:val="21"/>
                <w:szCs w:val="21"/>
              </w:rPr>
            </w:pPr>
            <w:r>
              <w:rPr>
                <w:rFonts w:hint="eastAsia"/>
                <w:sz w:val="21"/>
                <w:szCs w:val="21"/>
              </w:rPr>
              <w:t>能稳定向顾客提供较满意的</w:t>
            </w:r>
            <w:r>
              <w:rPr>
                <w:rFonts w:hint="eastAsia"/>
                <w:sz w:val="21"/>
                <w:szCs w:val="21"/>
                <w:lang w:eastAsia="zh-CN"/>
              </w:rPr>
              <w:t>产品和</w:t>
            </w:r>
            <w:r>
              <w:rPr>
                <w:rFonts w:hint="eastAsia"/>
                <w:sz w:val="21"/>
                <w:szCs w:val="21"/>
              </w:rPr>
              <w:t>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0" w:firstLineChars="100"/>
              <w:rPr>
                <w:rFonts w:ascii="宋体" w:hAnsi="宋体"/>
                <w:b/>
                <w:sz w:val="21"/>
                <w:szCs w:val="21"/>
              </w:rPr>
            </w:pPr>
            <w:r>
              <w:rPr>
                <w:rFonts w:hint="eastAsia" w:ascii="宋体" w:hAnsi="宋体"/>
                <w:b w:val="0"/>
                <w:bCs/>
                <w:sz w:val="21"/>
                <w:szCs w:val="21"/>
                <w:lang w:eastAsia="zh-CN"/>
              </w:rPr>
              <w:t>《环形混凝土电杆》检验报告，见附件</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sz w:val="21"/>
                <w:szCs w:val="21"/>
              </w:rPr>
            </w:pPr>
          </w:p>
          <w:p>
            <w:pPr>
              <w:spacing w:line="240" w:lineRule="exact"/>
              <w:ind w:firstLine="420" w:firstLineChars="200"/>
              <w:rPr>
                <w:rFonts w:ascii="宋体" w:hAnsi="宋体"/>
                <w:b/>
                <w:sz w:val="21"/>
                <w:szCs w:val="21"/>
              </w:rPr>
            </w:pPr>
            <w:r>
              <w:rPr>
                <w:rFonts w:hint="eastAsia"/>
                <w:sz w:val="21"/>
                <w:szCs w:val="21"/>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b w:val="0"/>
                <w:bCs/>
                <w:sz w:val="21"/>
                <w:szCs w:val="21"/>
                <w:lang w:eastAsia="zh-CN"/>
              </w:rPr>
            </w:pPr>
          </w:p>
          <w:p>
            <w:pPr>
              <w:ind w:left="240" w:leftChars="100" w:firstLine="105" w:firstLineChars="50"/>
              <w:jc w:val="left"/>
              <w:rPr>
                <w:rFonts w:hint="eastAsia" w:ascii="宋体" w:hAnsi="宋体" w:eastAsia="宋体"/>
                <w:b w:val="0"/>
                <w:bCs/>
                <w:sz w:val="21"/>
                <w:szCs w:val="21"/>
                <w:lang w:eastAsia="zh-CN"/>
              </w:rPr>
            </w:pPr>
            <w:r>
              <w:rPr>
                <w:rFonts w:hint="eastAsia" w:ascii="宋体" w:hAnsi="宋体"/>
                <w:b w:val="0"/>
                <w:bCs/>
                <w:sz w:val="21"/>
                <w:szCs w:val="21"/>
                <w:lang w:eastAsia="zh-CN"/>
              </w:rPr>
              <w:t>起重机械已进行检定，见附件。</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p>
          <w:p>
            <w:pPr>
              <w:spacing w:line="240" w:lineRule="exact"/>
              <w:ind w:firstLine="420" w:firstLineChars="200"/>
              <w:rPr>
                <w:rFonts w:hint="eastAsia" w:ascii="宋体" w:hAnsi="宋体" w:eastAsia="宋体"/>
                <w:b/>
                <w:sz w:val="21"/>
                <w:szCs w:val="21"/>
                <w:lang w:eastAsia="zh-CN"/>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 xml:space="preserve">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hint="eastAsia" w:ascii="宋体" w:hAnsi="宋体" w:eastAsia="宋体" w:cs="宋体"/>
                <w:sz w:val="21"/>
                <w:szCs w:val="21"/>
              </w:rPr>
            </w:pPr>
          </w:p>
          <w:p>
            <w:pPr>
              <w:spacing w:line="240" w:lineRule="exact"/>
              <w:ind w:firstLine="525" w:firstLineChars="250"/>
              <w:rPr>
                <w:rFonts w:ascii="宋体" w:hAnsi="宋体"/>
                <w:b/>
                <w:sz w:val="21"/>
                <w:szCs w:val="21"/>
              </w:rPr>
            </w:pPr>
            <w:r>
              <w:rPr>
                <w:rFonts w:hint="eastAsia" w:ascii="宋体" w:hAnsi="宋体" w:eastAsia="宋体" w:cs="宋体"/>
                <w:sz w:val="21"/>
                <w:szCs w:val="21"/>
              </w:rPr>
              <w:t>对质量目标进行了考核，查到20</w:t>
            </w:r>
            <w:r>
              <w:rPr>
                <w:rFonts w:hint="eastAsia" w:ascii="宋体" w:hAnsi="宋体" w:cs="宋体"/>
                <w:sz w:val="21"/>
                <w:szCs w:val="21"/>
                <w:lang w:val="en-US" w:eastAsia="zh-CN"/>
              </w:rPr>
              <w:t>20</w:t>
            </w:r>
            <w:r>
              <w:rPr>
                <w:rFonts w:hint="eastAsia" w:ascii="宋体" w:hAnsi="宋体" w:eastAsia="宋体" w:cs="宋体"/>
                <w:sz w:val="21"/>
                <w:szCs w:val="21"/>
              </w:rPr>
              <w:t>年公司及各部门完成情况，各项质量目标均已完成。目标具备可测量性。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ind w:firstLine="420" w:firstLineChars="200"/>
              <w:jc w:val="both"/>
              <w:rPr>
                <w:rFonts w:hint="eastAsia" w:ascii="宋体" w:hAnsi="宋体"/>
                <w:b/>
                <w:sz w:val="21"/>
                <w:szCs w:val="21"/>
              </w:rPr>
            </w:pPr>
            <w:r>
              <w:rPr>
                <w:rFonts w:hint="eastAsia"/>
                <w:sz w:val="21"/>
                <w:szCs w:val="21"/>
              </w:rPr>
              <w:t>能稳定向顾客提供较满意的生产服务。对顾客进行满意度调查，并进行了简要分析。</w:t>
            </w: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leftChars="-5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本年度内审已按计划实施，内审策划审核方案中考虑了拟审核的过程和区域的状况和重要性，内审结论：体系运行基本有效。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hint="eastAsia"/>
                <w:b w:val="0"/>
                <w:bCs/>
                <w:color w:val="000000" w:themeColor="text1"/>
                <w:sz w:val="21"/>
                <w:szCs w:val="21"/>
              </w:rPr>
            </w:pPr>
          </w:p>
          <w:p>
            <w:pPr>
              <w:spacing w:line="240" w:lineRule="exact"/>
              <w:ind w:firstLine="420" w:firstLineChars="200"/>
              <w:rPr>
                <w:b w:val="0"/>
                <w:bCs/>
                <w:color w:val="000000" w:themeColor="text1"/>
                <w:sz w:val="21"/>
                <w:szCs w:val="21"/>
              </w:rPr>
            </w:pPr>
            <w:r>
              <w:rPr>
                <w:rFonts w:hint="eastAsia"/>
                <w:b w:val="0"/>
                <w:bCs/>
                <w:color w:val="000000" w:themeColor="text1"/>
                <w:sz w:val="21"/>
                <w:szCs w:val="21"/>
              </w:rPr>
              <w:t>本年度管理评审已按计划实施，管理评审考虑了体系变更需求，评审了方针有效、适宜和充分。制定了改进措施，体系运行基本有效。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3"/>
              </w:numPr>
              <w:spacing w:line="240" w:lineRule="exact"/>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jc w:val="both"/>
              <w:rPr>
                <w:rFonts w:hint="eastAsia" w:ascii="宋体" w:hAnsi="宋体"/>
                <w:b/>
                <w:sz w:val="21"/>
                <w:szCs w:val="21"/>
              </w:rPr>
            </w:pPr>
          </w:p>
          <w:p>
            <w:pPr>
              <w:widowControl/>
              <w:numPr>
                <w:ilvl w:val="0"/>
                <w:numId w:val="0"/>
              </w:numPr>
              <w:spacing w:line="240" w:lineRule="exact"/>
              <w:ind w:firstLine="400" w:firstLineChars="200"/>
              <w:jc w:val="both"/>
              <w:rPr>
                <w:rFonts w:hint="eastAsia" w:ascii="宋体" w:hAnsi="宋体"/>
                <w:b/>
                <w:sz w:val="21"/>
                <w:szCs w:val="21"/>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hint="eastAsia"/>
                <w:b w:val="0"/>
                <w:bCs/>
                <w:color w:val="000000" w:themeColor="text1"/>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jc w:val="both"/>
              <w:rPr>
                <w:rFonts w:hint="eastAsia" w:ascii="宋体" w:hAnsi="宋体"/>
                <w:b/>
                <w:sz w:val="21"/>
                <w:szCs w:val="21"/>
              </w:rPr>
            </w:pPr>
            <w:r>
              <w:rPr>
                <w:rFonts w:hint="eastAsia" w:ascii="宋体" w:hAnsi="宋体"/>
                <w:b w:val="0"/>
                <w:bCs/>
                <w:sz w:val="21"/>
                <w:szCs w:val="21"/>
                <w:lang w:eastAsia="zh-CN"/>
              </w:rPr>
              <w:t>无</w:t>
            </w: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leftChars="-5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hint="eastAsia" w:ascii="Times New Roman" w:hAnsi="Times New Roman" w:cs="Times New Roman"/>
                <w:b w:val="0"/>
                <w:bCs/>
                <w:color w:val="000000" w:themeColor="text1"/>
                <w:sz w:val="21"/>
                <w:szCs w:val="21"/>
              </w:rPr>
            </w:pPr>
            <w:r>
              <w:rPr>
                <w:rFonts w:hint="eastAsia" w:ascii="Times New Roman" w:hAnsi="Times New Roman" w:cs="Times New Roman"/>
                <w:b w:val="0"/>
                <w:bCs/>
                <w:color w:val="000000" w:themeColor="text1"/>
                <w:sz w:val="21"/>
                <w:szCs w:val="21"/>
                <w:lang w:eastAsia="zh-CN"/>
              </w:rPr>
              <w:t>上次不符合项为：</w:t>
            </w:r>
            <w:r>
              <w:rPr>
                <w:rFonts w:hint="eastAsia" w:ascii="Times New Roman" w:hAnsi="Times New Roman" w:cs="Times New Roman"/>
                <w:b w:val="0"/>
                <w:bCs/>
                <w:color w:val="000000" w:themeColor="text1"/>
                <w:sz w:val="21"/>
                <w:szCs w:val="21"/>
              </w:rPr>
              <w:t>在生产技术部检查时发现游标卡尺没有检定合格标识，不能满足规范要求。</w:t>
            </w:r>
          </w:p>
          <w:p>
            <w:pPr>
              <w:spacing w:line="240" w:lineRule="exact"/>
              <w:rPr>
                <w:rFonts w:hint="eastAsia" w:ascii="Times New Roman" w:hAnsi="Times New Roman" w:cs="Times New Roman"/>
                <w:b w:val="0"/>
                <w:bCs/>
                <w:color w:val="000000" w:themeColor="text1"/>
                <w:sz w:val="21"/>
                <w:szCs w:val="21"/>
              </w:rPr>
            </w:pPr>
            <w:r>
              <w:rPr>
                <w:rFonts w:hint="eastAsia" w:ascii="Times New Roman" w:hAnsi="Times New Roman" w:cs="Times New Roman"/>
                <w:b w:val="0"/>
                <w:bCs/>
                <w:color w:val="000000" w:themeColor="text1"/>
                <w:sz w:val="21"/>
                <w:szCs w:val="21"/>
              </w:rPr>
              <w:t>上次开出的不符合已全部整改完毕。</w:t>
            </w:r>
            <w:r>
              <w:rPr>
                <w:rFonts w:hint="eastAsia" w:ascii="宋体" w:hAnsi="宋体" w:cs="Times New Roman"/>
                <w:b w:val="0"/>
                <w:bCs/>
                <w:color w:val="auto"/>
                <w:sz w:val="21"/>
                <w:szCs w:val="21"/>
                <w:lang w:val="en-US" w:eastAsia="zh-CN"/>
              </w:rPr>
              <w:t>相关工作人员对该条款及相关规定进行了培训，深入了解掌握了标准要求。</w:t>
            </w:r>
            <w:r>
              <w:rPr>
                <w:rFonts w:hint="eastAsia" w:ascii="Times New Roman" w:hAnsi="Times New Roman" w:cs="Times New Roman"/>
                <w:b w:val="0"/>
                <w:bCs/>
                <w:color w:val="000000" w:themeColor="text1"/>
                <w:sz w:val="21"/>
                <w:szCs w:val="21"/>
              </w:rPr>
              <w:t>整改基本有效。</w:t>
            </w:r>
          </w:p>
          <w:p>
            <w:pPr>
              <w:spacing w:line="240" w:lineRule="exact"/>
              <w:rPr>
                <w:rFonts w:hint="eastAsia" w:ascii="Times New Roman" w:hAnsi="Times New Roman" w:eastAsia="宋体" w:cs="Times New Roman"/>
                <w:kern w:val="2"/>
                <w:sz w:val="24"/>
                <w:lang w:val="en-US" w:eastAsia="zh-CN" w:bidi="ar-SA"/>
              </w:rPr>
            </w:pPr>
            <w:r>
              <w:rPr>
                <w:rFonts w:hint="eastAsia" w:ascii="Times New Roman" w:hAnsi="Times New Roman" w:cs="Times New Roman"/>
                <w:b w:val="0"/>
                <w:bCs/>
                <w:color w:val="000000" w:themeColor="text1"/>
                <w:sz w:val="21"/>
                <w:szCs w:val="21"/>
              </w:rPr>
              <w:t>本次审核未发现不符合。</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firstLine="221" w:firstLineChars="100"/>
        <w:rPr>
          <w:rFonts w:ascii="宋体"/>
          <w:b/>
          <w:szCs w:val="21"/>
        </w:rPr>
      </w:pPr>
      <w:r>
        <w:rPr>
          <w:rFonts w:hint="eastAsia" w:ascii="宋体" w:hAnsi="宋体" w:eastAsia="宋体" w:cs="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bookmarkStart w:id="28" w:name="_GoBack"/>
      <w:bookmarkEnd w:id="28"/>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w:t>
      </w:r>
      <w:r>
        <w:rPr>
          <w:rFonts w:hint="eastAsia" w:ascii="宋体" w:hAnsi="宋体"/>
          <w:b/>
          <w:szCs w:val="21"/>
          <w:lang w:val="en-US" w:eastAsia="zh-CN"/>
        </w:rPr>
        <w:t xml:space="preserve"> 2</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eastAsia="宋体" w:cs="宋体"/>
                <w:b/>
                <w:spacing w:val="-10"/>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spacing w:line="280" w:lineRule="exact"/>
              <w:ind w:firstLine="210" w:firstLineChars="100"/>
              <w:rPr>
                <w:rFonts w:ascii="宋体" w:hAnsi="宋体"/>
                <w:b/>
                <w:szCs w:val="21"/>
              </w:rPr>
            </w:pPr>
            <w:r>
              <w:rPr>
                <w:rFonts w:hint="eastAsia" w:ascii="宋体" w:hAnsi="宋体" w:eastAsia="宋体" w:cs="宋体"/>
                <w:sz w:val="21"/>
                <w:szCs w:val="21"/>
              </w:rPr>
              <w:t>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w:t>
            </w:r>
            <w:r>
              <w:rPr>
                <w:rFonts w:hint="eastAsia" w:ascii="宋体" w:hAnsi="宋体" w:cs="宋体"/>
                <w:sz w:val="21"/>
                <w:szCs w:val="21"/>
                <w:lang w:val="en-US" w:eastAsia="zh-CN"/>
              </w:rPr>
              <w:t>2项观察项，</w:t>
            </w:r>
            <w:r>
              <w:rPr>
                <w:rFonts w:hint="eastAsia" w:ascii="宋体" w:hAnsi="宋体" w:eastAsia="宋体" w:cs="宋体"/>
                <w:sz w:val="21"/>
                <w:szCs w:val="21"/>
              </w:rPr>
              <w:t>同意推荐该公司质量管理体系</w:t>
            </w:r>
            <w:r>
              <w:rPr>
                <w:rFonts w:hint="eastAsia" w:ascii="宋体" w:hAnsi="宋体" w:cs="宋体"/>
                <w:sz w:val="21"/>
                <w:szCs w:val="21"/>
                <w:lang w:eastAsia="zh-CN"/>
              </w:rPr>
              <w:t>保持</w:t>
            </w:r>
            <w:r>
              <w:rPr>
                <w:rFonts w:hint="eastAsia" w:ascii="宋体" w:hAnsi="宋体" w:eastAsia="宋体" w:cs="宋体"/>
                <w:sz w:val="21"/>
                <w:szCs w:val="21"/>
              </w:rPr>
              <w:t>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31" w:firstLineChars="150"/>
              <w:rPr>
                <w:rFonts w:ascii="宋体" w:hAnsi="宋体"/>
                <w:b/>
                <w:szCs w:val="21"/>
              </w:rPr>
            </w:pPr>
            <w:r>
              <w:rPr>
                <w:rFonts w:hint="eastAsia" w:ascii="宋体" w:hAnsi="宋体" w:eastAsia="宋体" w:cs="宋体"/>
                <w:b/>
                <w:spacing w:val="-10"/>
                <w:szCs w:val="21"/>
              </w:rPr>
              <w:t>■</w:t>
            </w:r>
            <w:r>
              <w:rPr>
                <w:rFonts w:hint="eastAsia" w:ascii="宋体" w:hAnsi="宋体"/>
                <w:b/>
                <w:szCs w:val="21"/>
              </w:rPr>
              <w:t>推荐保持（</w:t>
            </w:r>
            <w:r>
              <w:rPr>
                <w:rFonts w:hint="eastAsia" w:ascii="宋体" w:hAnsi="宋体" w:eastAsia="宋体" w:cs="宋体"/>
                <w:b/>
                <w:spacing w:val="-10"/>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4"/>
        </w:numPr>
        <w:spacing w:before="163" w:beforeLines="50" w:after="163" w:afterLines="50"/>
        <w:ind w:left="-122" w:leftChars="-51" w:firstLine="128" w:firstLineChars="46"/>
        <w:rPr>
          <w:rFonts w:hint="eastAsia"/>
          <w:b/>
          <w:sz w:val="26"/>
          <w:szCs w:val="26"/>
        </w:rPr>
      </w:pPr>
      <w:r>
        <w:rPr>
          <w:rFonts w:hint="eastAsia" w:ascii="仿宋" w:hAnsi="仿宋" w:eastAsia="仿宋"/>
          <w:kern w:val="24"/>
          <w:sz w:val="28"/>
          <w:szCs w:val="28"/>
        </w:rPr>
        <w:t>任何影响审核方案的重要事项</w:t>
      </w:r>
      <w:r>
        <w:rPr>
          <w:rFonts w:hint="eastAsia"/>
          <w:b/>
          <w:sz w:val="26"/>
          <w:szCs w:val="26"/>
        </w:rPr>
        <w:t>：</w:t>
      </w:r>
    </w:p>
    <w:p>
      <w:pPr>
        <w:numPr>
          <w:ilvl w:val="0"/>
          <w:numId w:val="0"/>
        </w:numPr>
        <w:spacing w:before="163" w:beforeLines="50" w:after="163" w:afterLines="50"/>
        <w:ind w:leftChars="-5"/>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eastAsia="宋体" w:cs="宋体"/>
          <w:b/>
          <w:bCs/>
          <w:sz w:val="21"/>
          <w:szCs w:val="21"/>
        </w:rPr>
        <w:t>■</w:t>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ascii="宋体" w:hAnsi="宋体" w:eastAsia="宋体" w:cs="宋体"/>
          <w:b/>
          <w:bCs/>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b/>
          <w:bCs/>
          <w:sz w:val="16"/>
          <w:szCs w:val="16"/>
        </w:rPr>
      </w:pPr>
      <w:r>
        <w:rPr>
          <w:b/>
          <w:bCs/>
          <w:sz w:val="21"/>
          <w:szCs w:val="28"/>
        </w:rPr>
        <w:t xml:space="preserve">1. </w:t>
      </w:r>
      <w:r>
        <w:rPr>
          <w:rFonts w:hint="eastAsia" w:ascii="宋体" w:hAnsi="宋体"/>
          <w:b/>
          <w:bCs/>
          <w:sz w:val="21"/>
          <w:szCs w:val="28"/>
        </w:rPr>
        <w:t>审核计划（含项目清单）</w:t>
      </w:r>
      <w:r>
        <w:rPr>
          <w:rFonts w:hint="eastAsia" w:ascii="宋体" w:hAnsi="宋体"/>
          <w:b/>
          <w:bCs/>
          <w:sz w:val="21"/>
          <w:szCs w:val="28"/>
          <w:lang w:val="en-US" w:eastAsia="zh-CN"/>
        </w:rPr>
        <w:t xml:space="preserve">  </w:t>
      </w: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r>
        <w:rPr>
          <w:rFonts w:hint="eastAsia" w:ascii="宋体" w:hAnsi="宋体"/>
          <w:b/>
          <w:bCs/>
          <w:sz w:val="21"/>
          <w:szCs w:val="28"/>
          <w:lang w:val="en-US" w:eastAsia="zh-CN"/>
        </w:rPr>
        <w:t xml:space="preserve">  </w:t>
      </w: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5064447"/>
    <w:multiLevelType w:val="singleLevel"/>
    <w:tmpl w:val="55064447"/>
    <w:lvl w:ilvl="0" w:tentative="0">
      <w:start w:val="2"/>
      <w:numFmt w:val="decimal"/>
      <w:lvlText w:val="%1."/>
      <w:lvlJc w:val="left"/>
      <w:pPr>
        <w:tabs>
          <w:tab w:val="left" w:pos="312"/>
        </w:tabs>
      </w:pPr>
    </w:lvl>
  </w:abstractNum>
  <w:abstractNum w:abstractNumId="3">
    <w:nsid w:val="59530442"/>
    <w:multiLevelType w:val="singleLevel"/>
    <w:tmpl w:val="59530442"/>
    <w:lvl w:ilvl="0" w:tentative="0">
      <w:start w:val="9"/>
      <w:numFmt w:val="decimal"/>
      <w:suff w:val="space"/>
      <w:lvlText w:val="%1."/>
      <w:lvlJc w:val="left"/>
    </w:lvl>
  </w:abstractNum>
  <w:abstractNum w:abstractNumId="4">
    <w:nsid w:val="67B37BC6"/>
    <w:multiLevelType w:val="singleLevel"/>
    <w:tmpl w:val="67B37BC6"/>
    <w:lvl w:ilvl="0" w:tentative="0">
      <w:start w:val="11"/>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A11B70"/>
    <w:rsid w:val="03D17A06"/>
    <w:rsid w:val="07232C1E"/>
    <w:rsid w:val="088D1A5C"/>
    <w:rsid w:val="0DFB1B78"/>
    <w:rsid w:val="0E676A59"/>
    <w:rsid w:val="16E36FF5"/>
    <w:rsid w:val="1C965BBA"/>
    <w:rsid w:val="21042EC0"/>
    <w:rsid w:val="261257D4"/>
    <w:rsid w:val="29C20488"/>
    <w:rsid w:val="2B645C83"/>
    <w:rsid w:val="344E64F8"/>
    <w:rsid w:val="3AF1167E"/>
    <w:rsid w:val="42320774"/>
    <w:rsid w:val="44DF19C2"/>
    <w:rsid w:val="481C5439"/>
    <w:rsid w:val="484F67F0"/>
    <w:rsid w:val="4BD37FEC"/>
    <w:rsid w:val="5C2B5F72"/>
    <w:rsid w:val="5EC56E94"/>
    <w:rsid w:val="636E53BA"/>
    <w:rsid w:val="64772690"/>
    <w:rsid w:val="65772C0B"/>
    <w:rsid w:val="6D9C3649"/>
    <w:rsid w:val="6DC87E4D"/>
    <w:rsid w:val="71282A9B"/>
    <w:rsid w:val="715006D7"/>
    <w:rsid w:val="72BA4ABF"/>
    <w:rsid w:val="7D4852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誰汻誰天荒地鮱</cp:lastModifiedBy>
  <cp:lastPrinted>2019-04-18T08:15:00Z</cp:lastPrinted>
  <dcterms:modified xsi:type="dcterms:W3CDTF">2020-12-07T16:58:15Z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