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0633-2020-E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泸州桓立塑料包装制造有限公司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83"/>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泸州桓立塑料包装制造有限公司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泸州市江阳区邻玉街道办事处天堂村一社附一号</w:t>
            </w:r>
            <w:bookmarkEnd w:id="10"/>
          </w:p>
        </w:tc>
        <w:tc>
          <w:tcPr>
            <w:tcW w:w="983"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17" w:type="dxa"/>
          </w:tcPr>
          <w:p>
            <w:pPr>
              <w:spacing w:line="280" w:lineRule="exact"/>
              <w:rPr>
                <w:rFonts w:ascii="宋体"/>
                <w:b/>
                <w:color w:val="000000"/>
                <w:sz w:val="20"/>
                <w:szCs w:val="20"/>
              </w:rPr>
            </w:pPr>
            <w:bookmarkStart w:id="11" w:name="注册邮编"/>
            <w:r>
              <w:rPr>
                <w:rFonts w:ascii="宋体"/>
                <w:b/>
                <w:color w:val="000000"/>
                <w:sz w:val="20"/>
                <w:szCs w:val="20"/>
              </w:rPr>
              <w:t>646000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83" w:type="dxa"/>
            <w:vMerge w:val="continue"/>
            <w:vAlign w:val="center"/>
          </w:tcPr>
          <w:p>
            <w:pPr>
              <w:spacing w:line="280" w:lineRule="exact"/>
              <w:jc w:val="center"/>
              <w:rPr>
                <w:rFonts w:ascii="宋体"/>
                <w:b/>
                <w:color w:val="000000"/>
                <w:sz w:val="20"/>
                <w:szCs w:val="20"/>
              </w:rPr>
            </w:pPr>
          </w:p>
        </w:tc>
        <w:tc>
          <w:tcPr>
            <w:tcW w:w="1817"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泸州市江阳区茜草街道金凤苑小区6号楼</w:t>
            </w:r>
            <w:bookmarkEnd w:id="14"/>
          </w:p>
        </w:tc>
        <w:tc>
          <w:tcPr>
            <w:tcW w:w="983" w:type="dxa"/>
            <w:vMerge w:val="continue"/>
            <w:vAlign w:val="center"/>
          </w:tcPr>
          <w:p>
            <w:pPr>
              <w:spacing w:line="280" w:lineRule="exact"/>
              <w:jc w:val="center"/>
              <w:rPr>
                <w:rFonts w:ascii="宋体"/>
                <w:b/>
                <w:color w:val="000000"/>
                <w:sz w:val="20"/>
                <w:szCs w:val="20"/>
              </w:rPr>
            </w:pPr>
          </w:p>
        </w:tc>
        <w:tc>
          <w:tcPr>
            <w:tcW w:w="1817" w:type="dxa"/>
          </w:tcPr>
          <w:p>
            <w:pPr>
              <w:spacing w:line="280" w:lineRule="exact"/>
              <w:rPr>
                <w:rFonts w:ascii="宋体"/>
                <w:b/>
                <w:color w:val="000000"/>
                <w:sz w:val="20"/>
                <w:szCs w:val="20"/>
              </w:rPr>
            </w:pPr>
            <w:bookmarkStart w:id="15" w:name="生产邮编Add1"/>
            <w:r>
              <w:rPr>
                <w:rFonts w:ascii="宋体"/>
                <w:b/>
                <w:color w:val="000000"/>
                <w:sz w:val="20"/>
                <w:szCs w:val="20"/>
              </w:rPr>
              <w:t>646000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唐开萍</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13700987703</w:t>
            </w:r>
            <w:bookmarkEnd w:id="17"/>
          </w:p>
        </w:tc>
        <w:tc>
          <w:tcPr>
            <w:tcW w:w="98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17"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张远非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唐开萍</w:t>
            </w:r>
            <w:bookmarkEnd w:id="20"/>
          </w:p>
        </w:tc>
        <w:tc>
          <w:tcPr>
            <w:tcW w:w="983" w:type="dxa"/>
          </w:tcPr>
          <w:p>
            <w:pPr>
              <w:jc w:val="center"/>
              <w:rPr>
                <w:rFonts w:ascii="宋体"/>
                <w:b/>
                <w:color w:val="000000"/>
                <w:sz w:val="20"/>
                <w:szCs w:val="20"/>
              </w:rPr>
            </w:pPr>
            <w:r>
              <w:rPr>
                <w:rFonts w:hint="eastAsia" w:ascii="宋体"/>
                <w:b/>
                <w:color w:val="000000"/>
                <w:sz w:val="20"/>
                <w:szCs w:val="20"/>
              </w:rPr>
              <w:t>邮箱</w:t>
            </w:r>
          </w:p>
        </w:tc>
        <w:tc>
          <w:tcPr>
            <w:tcW w:w="1817" w:type="dxa"/>
          </w:tcPr>
          <w:p>
            <w:pPr>
              <w:rPr>
                <w:rFonts w:ascii="宋体"/>
                <w:b/>
                <w:color w:val="000000"/>
                <w:sz w:val="20"/>
                <w:szCs w:val="20"/>
              </w:rPr>
            </w:pPr>
            <w:bookmarkStart w:id="21" w:name="联系人邮箱Add1"/>
            <w:r>
              <w:rPr>
                <w:rFonts w:ascii="宋体"/>
                <w:b/>
                <w:color w:val="000000"/>
                <w:sz w:val="20"/>
                <w:szCs w:val="20"/>
              </w:rPr>
              <w:t>51074266@qq.com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color w:val="000000" w:themeColor="text1"/>
                <w:sz w:val="21"/>
                <w:lang w:eastAsia="zh-CN"/>
              </w:rPr>
              <w:t>2020年</w:t>
            </w:r>
            <w:r>
              <w:rPr>
                <w:rFonts w:hint="eastAsia"/>
                <w:color w:val="000000" w:themeColor="text1"/>
                <w:sz w:val="21"/>
                <w:lang w:val="en-US" w:eastAsia="zh-CN"/>
              </w:rPr>
              <w:t>5</w:t>
            </w:r>
            <w:r>
              <w:rPr>
                <w:rFonts w:hint="eastAsia"/>
                <w:color w:val="000000" w:themeColor="text1"/>
                <w:sz w:val="21"/>
                <w:lang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塑料包装制品的销售所涉及的相关环境管理活动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eastAsia="宋体" w:cs="宋体"/>
          <w:b/>
          <w:color w:val="000000"/>
          <w:spacing w:val="-2"/>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经营场所、</w:t>
      </w:r>
      <w:r>
        <w:rPr>
          <w:rFonts w:hint="eastAsia" w:ascii="宋体" w:hAnsi="宋体"/>
          <w:b/>
          <w:color w:val="000000"/>
          <w:sz w:val="20"/>
          <w:szCs w:val="20"/>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eastAsia="宋体" w:cs="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塑料包装制品的销售所涉及的相关环境管理活动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s="Times New Roman"/>
                <w:szCs w:val="21"/>
                <w:lang w:eastAsia="zh-CN"/>
              </w:rPr>
              <w:t>管理层 、办公室 、销售部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cs="Times New Roman"/>
                <w:szCs w:val="21"/>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cs="Times New Roman"/>
                <w:szCs w:val="21"/>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sz w:val="20"/>
                <w:szCs w:val="20"/>
              </w:rPr>
              <w:t>受审核方位于：</w:t>
            </w:r>
            <w:bookmarkStart w:id="24" w:name="生产地址"/>
            <w:r>
              <w:rPr>
                <w:color w:val="000000" w:themeColor="text1"/>
              </w:rPr>
              <w:t>泸州市江阳区茜草街道金凤苑小区6号楼</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eastAsia="宋体" w:cs="宋体"/>
                <w:color w:val="000000" w:themeColor="text1"/>
                <w:sz w:val="20"/>
                <w:szCs w:val="20"/>
              </w:rPr>
              <w:t>■</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是否有环境影响评价报告或环境影响评价表</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是否有环境影响评价报告或环境影响评价表批复</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是否有环境影响评价验收</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环境影响评价报告与企业申请认证范围是否一致</w:t>
            </w:r>
            <w:r>
              <w:rPr>
                <w:rFonts w:hint="eastAsia" w:asci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是否有排污许可证</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是否提供近期环境监测报告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themeColor="text1"/>
                <w:sz w:val="20"/>
                <w:szCs w:val="20"/>
              </w:rPr>
              <w:t>环境执行标准：</w:t>
            </w:r>
            <w:r>
              <w:rPr>
                <w:rFonts w:hint="eastAsia" w:ascii="宋体" w:hAnsi="Times New Roman" w:eastAsia="宋体" w:cs="Times New Roman"/>
                <w:color w:val="000000" w:themeColor="text1"/>
                <w:sz w:val="20"/>
                <w:szCs w:val="20"/>
              </w:rPr>
              <w:t>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eastAsiaTheme="minorEastAsia"/>
                <w:lang w:val="en-US" w:eastAsia="zh-CN"/>
              </w:rPr>
            </w:pPr>
            <w:r>
              <w:rPr>
                <w:rFonts w:hint="eastAsia"/>
                <w:lang w:val="en-US" w:eastAsia="zh-CN"/>
              </w:rPr>
              <w:t>销售流程：采购-采购验收-销售-客户验收</w:t>
            </w:r>
          </w:p>
          <w:p>
            <w:pPr>
              <w:tabs>
                <w:tab w:val="left" w:pos="2385"/>
              </w:tabs>
              <w:spacing w:line="360" w:lineRule="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themeColor="text1"/>
                <w:sz w:val="20"/>
                <w:szCs w:val="20"/>
              </w:rPr>
            </w:pPr>
            <w:r>
              <w:rPr>
                <w:rFonts w:hint="eastAsia" w:ascii="宋体"/>
                <w:color w:val="000000" w:themeColor="text1"/>
                <w:sz w:val="20"/>
                <w:szCs w:val="20"/>
              </w:rPr>
              <w:t>监视和测量设备（请简述主要监视和测量设备）：监视和测量设备（请简述主要监视和测量设备）：</w:t>
            </w:r>
            <w:r>
              <w:rPr>
                <w:rFonts w:hint="eastAsia"/>
                <w:color w:val="000000" w:themeColor="text1"/>
                <w:szCs w:val="21"/>
                <w:highlight w:val="none"/>
              </w:rPr>
              <w:t>无，采取以供方出具的产品检测报告为验收依据，进行核验，最终产品质量由顾客确认，暂未配置检测设备</w:t>
            </w:r>
            <w:r>
              <w:rPr>
                <w:rFonts w:hint="eastAsia" w:ascii="宋体" w:hAnsi="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重要环境因素有：</w:t>
            </w:r>
            <w:r>
              <w:rPr>
                <w:rFonts w:hint="eastAsia" w:ascii="宋体" w:hAnsi="宋体"/>
                <w:color w:val="000000" w:themeColor="text1"/>
                <w:szCs w:val="21"/>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针对重要环境因素建立了运行控制程序：有（1）环境因素识别与评价控制程序；（2）运行控制程序。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针对重要环境因素是否明确了监视和测量的要求：过程的测量和监控程序。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hAnsi="宋体" w:cs="Times New Roman"/>
                <w:b/>
                <w:color w:val="000000"/>
                <w:sz w:val="20"/>
                <w:szCs w:val="20"/>
                <w:lang w:val="en-US"/>
              </w:rPr>
            </w:pPr>
            <w:r>
              <w:rPr>
                <w:rFonts w:hint="eastAsia" w:ascii="宋体" w:hAnsi="宋体"/>
                <w:b/>
                <w:color w:val="000000"/>
                <w:sz w:val="20"/>
                <w:szCs w:val="20"/>
              </w:rPr>
              <w:t>重点审核部门：</w:t>
            </w:r>
            <w:r>
              <w:rPr>
                <w:rFonts w:hint="eastAsia" w:ascii="宋体" w:hAnsi="宋体" w:cs="Times New Roman"/>
                <w:b/>
                <w:color w:val="000000"/>
                <w:sz w:val="20"/>
                <w:szCs w:val="20"/>
                <w:lang w:eastAsia="zh-CN"/>
              </w:rPr>
              <w:t>办公室 、销售部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经营、</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themeColor="text1"/>
          <w:spacing w:val="-8"/>
          <w:sz w:val="26"/>
          <w:szCs w:val="26"/>
        </w:rPr>
      </w:pPr>
      <w:r>
        <w:rPr>
          <w:rFonts w:hint="eastAsia" w:ascii="宋体" w:hAnsi="宋体"/>
          <w:b/>
          <w:color w:val="000000"/>
          <w:sz w:val="26"/>
          <w:szCs w:val="26"/>
        </w:rPr>
        <w:t>十二、评价受审核方是否策划和实施了内部审核与管理</w:t>
      </w:r>
      <w:r>
        <w:rPr>
          <w:rFonts w:hint="eastAsia" w:ascii="宋体" w:hAnsi="宋体"/>
          <w:b/>
          <w:color w:val="000000" w:themeColor="text1"/>
          <w:sz w:val="26"/>
          <w:szCs w:val="26"/>
        </w:rPr>
        <w:t>评审</w:t>
      </w:r>
      <w:r>
        <w:rPr>
          <w:rFonts w:ascii="宋体" w:hAnsi="宋体"/>
          <w:b/>
          <w:color w:val="000000" w:themeColor="text1"/>
          <w:sz w:val="26"/>
          <w:szCs w:val="26"/>
        </w:rPr>
        <w:t xml:space="preserve">, </w:t>
      </w:r>
      <w:r>
        <w:rPr>
          <w:rFonts w:hint="eastAsia" w:ascii="宋体" w:hAnsi="宋体"/>
          <w:b/>
          <w:color w:val="000000" w:themeColor="text1"/>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themeColor="text1"/>
                <w:sz w:val="20"/>
                <w:szCs w:val="20"/>
              </w:rPr>
            </w:pPr>
            <w:r>
              <w:rPr>
                <w:rFonts w:hint="eastAsia" w:ascii="宋体" w:hAnsi="宋体"/>
                <w:b/>
                <w:color w:val="000000" w:themeColor="text1"/>
                <w:sz w:val="20"/>
                <w:szCs w:val="20"/>
              </w:rPr>
              <w:t>内部审核</w:t>
            </w:r>
          </w:p>
        </w:tc>
        <w:tc>
          <w:tcPr>
            <w:tcW w:w="8221" w:type="dxa"/>
            <w:vAlign w:val="top"/>
          </w:tcPr>
          <w:p>
            <w:pPr>
              <w:ind w:left="-540" w:leftChars="-257"/>
              <w:rPr>
                <w:rFonts w:ascii="宋体"/>
                <w:b/>
                <w:color w:val="000000" w:themeColor="text1"/>
                <w:sz w:val="20"/>
                <w:szCs w:val="20"/>
              </w:rPr>
            </w:pPr>
            <w:r>
              <w:rPr>
                <w:rFonts w:hint="eastAsia" w:ascii="宋体" w:hAnsi="宋体"/>
                <w:b/>
                <w:color w:val="000000" w:themeColor="text1"/>
                <w:sz w:val="20"/>
                <w:szCs w:val="20"/>
              </w:rPr>
              <w:t>了解内审的策划</w:t>
            </w:r>
            <w:r>
              <w:rPr>
                <w:rFonts w:ascii="宋体" w:hAnsi="宋体"/>
                <w:b/>
                <w:color w:val="000000" w:themeColor="text1"/>
                <w:sz w:val="20"/>
                <w:szCs w:val="20"/>
              </w:rPr>
              <w:t xml:space="preserve">; </w:t>
            </w:r>
            <w:r>
              <w:rPr>
                <w:rFonts w:hint="eastAsia"/>
                <w:color w:val="000000" w:themeColor="text1"/>
                <w:szCs w:val="21"/>
              </w:rPr>
              <w:t>建立有《内部审核控制程序》，</w:t>
            </w:r>
            <w:r>
              <w:rPr>
                <w:rFonts w:hint="eastAsia" w:ascii="Times New Roman" w:hAnsi="Times New Roman" w:eastAsia="宋体" w:cs="Times New Roman"/>
                <w:color w:val="000000" w:themeColor="text1"/>
                <w:szCs w:val="21"/>
              </w:rPr>
              <w:t xml:space="preserve">于 </w:t>
            </w:r>
            <w:r>
              <w:rPr>
                <w:rFonts w:hint="eastAsia" w:ascii="宋体" w:hAnsi="宋体"/>
                <w:color w:val="000000" w:themeColor="text1"/>
                <w:szCs w:val="21"/>
                <w:lang w:eastAsia="zh-CN"/>
              </w:rPr>
              <w:t>2020-09-17</w:t>
            </w:r>
            <w:r>
              <w:rPr>
                <w:rFonts w:hint="eastAsia" w:ascii="Times New Roman" w:hAnsi="Times New Roman" w:eastAsia="宋体" w:cs="Times New Roman"/>
                <w:color w:val="000000" w:themeColor="text1"/>
                <w:szCs w:val="21"/>
              </w:rPr>
              <w:t>进行了内部审核。内部审核组由：唐开桂（组长）、 唐开萍（组员）组成。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FF0000"/>
                <w:sz w:val="20"/>
                <w:szCs w:val="20"/>
              </w:rPr>
            </w:pPr>
          </w:p>
        </w:tc>
        <w:tc>
          <w:tcPr>
            <w:tcW w:w="8221" w:type="dxa"/>
            <w:vAlign w:val="top"/>
          </w:tcPr>
          <w:p>
            <w:pPr>
              <w:spacing w:line="340" w:lineRule="exact"/>
              <w:rPr>
                <w:rFonts w:ascii="宋体" w:hAnsi="宋体"/>
                <w:b/>
                <w:color w:val="000000" w:themeColor="text1"/>
                <w:sz w:val="20"/>
                <w:szCs w:val="20"/>
              </w:rPr>
            </w:pPr>
            <w:r>
              <w:rPr>
                <w:rFonts w:hint="eastAsia" w:ascii="宋体" w:hAnsi="宋体"/>
                <w:b/>
                <w:color w:val="000000" w:themeColor="text1"/>
                <w:sz w:val="20"/>
                <w:szCs w:val="20"/>
              </w:rPr>
              <w:t>了解内审是否覆盖了管理体系范围内的活动及标准的要求</w:t>
            </w:r>
            <w:r>
              <w:rPr>
                <w:rFonts w:ascii="宋体" w:hAnsi="宋体"/>
                <w:b/>
                <w:color w:val="000000" w:themeColor="text1"/>
                <w:sz w:val="20"/>
                <w:szCs w:val="20"/>
              </w:rPr>
              <w:t xml:space="preserve">; </w:t>
            </w:r>
          </w:p>
          <w:p>
            <w:pPr>
              <w:spacing w:line="260" w:lineRule="exact"/>
              <w:ind w:firstLine="420" w:firstLineChars="200"/>
              <w:rPr>
                <w:color w:val="000000" w:themeColor="text1"/>
                <w:szCs w:val="21"/>
              </w:rPr>
            </w:pPr>
            <w:r>
              <w:rPr>
                <w:rFonts w:hint="eastAsia"/>
                <w:color w:val="000000" w:themeColor="text1"/>
                <w:szCs w:val="21"/>
              </w:rPr>
              <w:t>1、审核范围:管理体系涉及的公司所有部门、服务场所。</w:t>
            </w:r>
          </w:p>
          <w:p>
            <w:pPr>
              <w:spacing w:line="260" w:lineRule="exact"/>
              <w:ind w:firstLine="420" w:firstLineChars="200"/>
              <w:rPr>
                <w:rFonts w:ascii="宋体"/>
                <w:b/>
                <w:color w:val="FF0000"/>
                <w:sz w:val="20"/>
                <w:szCs w:val="20"/>
              </w:rPr>
            </w:pPr>
            <w:r>
              <w:rPr>
                <w:rFonts w:hint="eastAsia"/>
                <w:color w:val="000000" w:themeColor="text1"/>
                <w:szCs w:val="21"/>
              </w:rPr>
              <w:t>2、审核准则：</w:t>
            </w:r>
            <w:r>
              <w:rPr>
                <w:rFonts w:hint="eastAsia"/>
                <w:color w:val="000000" w:themeColor="text1"/>
                <w:szCs w:val="21"/>
                <w:lang w:val="en-US" w:eastAsia="zh-CN"/>
              </w:rPr>
              <w:t>a.</w:t>
            </w:r>
            <w:r>
              <w:rPr>
                <w:rFonts w:hint="eastAsia"/>
                <w:color w:val="000000" w:themeColor="text1"/>
                <w:szCs w:val="21"/>
              </w:rPr>
              <w:t>GB/T 24001-2016idtISO 14001:2015； b</w:t>
            </w:r>
            <w:r>
              <w:rPr>
                <w:rFonts w:hint="eastAsia"/>
                <w:color w:val="000000" w:themeColor="text1"/>
                <w:szCs w:val="21"/>
                <w:lang w:val="en-US" w:eastAsia="zh-CN"/>
              </w:rPr>
              <w:t>.</w:t>
            </w:r>
            <w:r>
              <w:rPr>
                <w:rFonts w:hint="eastAsia"/>
                <w:color w:val="000000" w:themeColor="text1"/>
                <w:szCs w:val="21"/>
              </w:rPr>
              <w:t>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FF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ind w:firstLine="420" w:firstLineChars="200"/>
              <w:rPr>
                <w:color w:val="000000" w:themeColor="text1"/>
                <w:szCs w:val="21"/>
              </w:rPr>
            </w:pPr>
            <w:r>
              <w:rPr>
                <w:rFonts w:hint="eastAsia"/>
                <w:color w:val="000000" w:themeColor="text1"/>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FF0000"/>
                <w:sz w:val="20"/>
                <w:szCs w:val="20"/>
              </w:rPr>
            </w:pPr>
            <w:r>
              <w:rPr>
                <w:rFonts w:hint="eastAsia"/>
                <w:color w:val="000000" w:themeColor="text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FF0000"/>
                <w:sz w:val="20"/>
                <w:szCs w:val="20"/>
              </w:rPr>
            </w:pPr>
            <w:r>
              <w:rPr>
                <w:rFonts w:hint="eastAsia" w:ascii="宋体" w:hAnsi="宋体"/>
                <w:b/>
                <w:color w:val="000000" w:themeColor="text1"/>
                <w:sz w:val="20"/>
                <w:szCs w:val="20"/>
              </w:rPr>
              <w:t>管理评审</w:t>
            </w:r>
          </w:p>
        </w:tc>
        <w:tc>
          <w:tcPr>
            <w:tcW w:w="8221" w:type="dxa"/>
            <w:vAlign w:val="top"/>
          </w:tcPr>
          <w:p>
            <w:pPr>
              <w:spacing w:line="260" w:lineRule="exact"/>
              <w:rPr>
                <w:rFonts w:ascii="宋体"/>
                <w:b/>
                <w:color w:val="FF0000"/>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r>
              <w:rPr>
                <w:rFonts w:hint="eastAsia"/>
                <w:color w:val="000000" w:themeColor="text1"/>
                <w:szCs w:val="21"/>
              </w:rPr>
              <w:t>建立有《管理评审控制程序》，于</w:t>
            </w:r>
            <w:r>
              <w:rPr>
                <w:rFonts w:hint="eastAsia" w:ascii="Times New Roman" w:hAnsi="Times New Roman" w:eastAsia="宋体" w:cs="Times New Roman"/>
                <w:color w:val="000000" w:themeColor="text1"/>
                <w:szCs w:val="21"/>
              </w:rPr>
              <w:t>2020年</w:t>
            </w:r>
            <w:r>
              <w:rPr>
                <w:rFonts w:hint="eastAsia" w:cs="Times New Roman"/>
                <w:color w:val="000000" w:themeColor="text1"/>
                <w:szCs w:val="21"/>
                <w:lang w:val="en-US" w:eastAsia="zh-CN"/>
              </w:rPr>
              <w:t>9</w:t>
            </w:r>
            <w:r>
              <w:rPr>
                <w:rFonts w:hint="eastAsia" w:ascii="Times New Roman" w:hAnsi="Times New Roman" w:eastAsia="宋体" w:cs="Times New Roman"/>
                <w:color w:val="000000" w:themeColor="text1"/>
                <w:szCs w:val="21"/>
              </w:rPr>
              <w:t>月</w:t>
            </w:r>
            <w:r>
              <w:rPr>
                <w:rFonts w:hint="eastAsia" w:cs="Times New Roman"/>
                <w:color w:val="000000" w:themeColor="text1"/>
                <w:szCs w:val="21"/>
                <w:lang w:val="en-US" w:eastAsia="zh-CN"/>
              </w:rPr>
              <w:t>30</w:t>
            </w:r>
            <w:bookmarkStart w:id="25" w:name="_GoBack"/>
            <w:bookmarkEnd w:id="25"/>
            <w:r>
              <w:rPr>
                <w:rFonts w:hint="eastAsia" w:ascii="Times New Roman" w:hAnsi="Times New Roman" w:eastAsia="宋体" w:cs="Times New Roman"/>
                <w:color w:val="000000" w:themeColor="text1"/>
                <w:szCs w:val="21"/>
              </w:rPr>
              <w:t>日就</w:t>
            </w:r>
            <w:r>
              <w:rPr>
                <w:rFonts w:hint="eastAsia"/>
                <w:color w:val="000000" w:themeColor="text1"/>
                <w:szCs w:val="21"/>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FF0000"/>
                <w:sz w:val="20"/>
                <w:szCs w:val="20"/>
              </w:rPr>
            </w:pPr>
          </w:p>
        </w:tc>
        <w:tc>
          <w:tcPr>
            <w:tcW w:w="8221" w:type="dxa"/>
            <w:vAlign w:val="top"/>
          </w:tcPr>
          <w:p>
            <w:pPr>
              <w:adjustRightInd w:val="0"/>
              <w:spacing w:line="400" w:lineRule="exact"/>
              <w:textAlignment w:val="baseline"/>
              <w:rPr>
                <w:rFonts w:ascii="宋体"/>
                <w:b/>
                <w:color w:val="auto"/>
                <w:sz w:val="20"/>
                <w:szCs w:val="20"/>
              </w:rPr>
            </w:pPr>
            <w:r>
              <w:rPr>
                <w:rFonts w:hint="eastAsia" w:ascii="宋体" w:hAnsi="宋体"/>
                <w:b/>
                <w:color w:val="auto"/>
                <w:sz w:val="20"/>
                <w:szCs w:val="20"/>
              </w:rPr>
              <w:t>了解管理评审输入是否充分</w:t>
            </w:r>
            <w:r>
              <w:rPr>
                <w:rFonts w:ascii="宋体" w:hAnsi="宋体"/>
                <w:b/>
                <w:color w:val="auto"/>
                <w:sz w:val="20"/>
                <w:szCs w:val="20"/>
              </w:rPr>
              <w:t xml:space="preserve">; </w:t>
            </w:r>
            <w:r>
              <w:rPr>
                <w:rFonts w:hint="eastAsia" w:ascii="宋体" w:hAnsi="宋体"/>
                <w:color w:val="auto"/>
                <w:kern w:val="0"/>
                <w:szCs w:val="21"/>
              </w:rPr>
              <w:t>提供主要输入材料有：各部门总结，</w:t>
            </w:r>
            <w:r>
              <w:rPr>
                <w:rFonts w:hint="eastAsia" w:ascii="宋体"/>
                <w:color w:val="auto"/>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FF0000"/>
                <w:sz w:val="20"/>
                <w:szCs w:val="20"/>
              </w:rPr>
            </w:pPr>
          </w:p>
        </w:tc>
        <w:tc>
          <w:tcPr>
            <w:tcW w:w="8221" w:type="dxa"/>
            <w:vAlign w:val="top"/>
          </w:tcPr>
          <w:p>
            <w:pPr>
              <w:spacing w:line="260" w:lineRule="exact"/>
              <w:rPr>
                <w:rFonts w:ascii="宋体"/>
                <w:b/>
                <w:color w:val="auto"/>
                <w:sz w:val="20"/>
                <w:szCs w:val="20"/>
              </w:rPr>
            </w:pPr>
            <w:r>
              <w:rPr>
                <w:rFonts w:hint="eastAsia" w:ascii="宋体" w:hAnsi="宋体"/>
                <w:b/>
                <w:color w:val="auto"/>
                <w:sz w:val="20"/>
                <w:szCs w:val="20"/>
              </w:rPr>
              <w:t>了解管理评审结论</w:t>
            </w:r>
            <w:r>
              <w:rPr>
                <w:rFonts w:ascii="宋体" w:hAnsi="宋体"/>
                <w:b/>
                <w:color w:val="auto"/>
                <w:sz w:val="20"/>
                <w:szCs w:val="20"/>
              </w:rPr>
              <w:t xml:space="preserve">; </w:t>
            </w:r>
            <w:r>
              <w:rPr>
                <w:rFonts w:hint="eastAsia"/>
                <w:color w:val="auto"/>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FF0000"/>
                <w:szCs w:val="21"/>
              </w:rPr>
            </w:pPr>
            <w:r>
              <w:rPr>
                <w:rFonts w:hint="eastAsia" w:ascii="宋体" w:hAnsi="宋体"/>
                <w:b/>
                <w:color w:val="auto"/>
                <w:sz w:val="20"/>
                <w:szCs w:val="20"/>
              </w:rPr>
              <w:t>评价受审核方对内审和管理评审的关注情况，是否已为二阶段审核做好准备</w:t>
            </w:r>
            <w:r>
              <w:rPr>
                <w:rFonts w:ascii="宋体" w:hAnsi="宋体"/>
                <w:b/>
                <w:color w:val="auto"/>
                <w:sz w:val="20"/>
                <w:szCs w:val="20"/>
              </w:rPr>
              <w:t xml:space="preserve">: </w:t>
            </w:r>
            <w:r>
              <w:rPr>
                <w:rFonts w:hint="eastAsia" w:ascii="宋体"/>
                <w:b/>
                <w:color w:val="auto"/>
                <w:szCs w:val="21"/>
              </w:rPr>
              <w:t>做好准备。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szCs w:val="21"/>
          <w:u w:val="single"/>
        </w:rPr>
        <w:t xml:space="preserve">塑料包装制品的销售所涉及的相关环境管理活动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91008" behindDoc="0" locked="0" layoutInCell="1" allowOverlap="1">
            <wp:simplePos x="0" y="0"/>
            <wp:positionH relativeFrom="column">
              <wp:posOffset>1990090</wp:posOffset>
            </wp:positionH>
            <wp:positionV relativeFrom="paragraph">
              <wp:posOffset>281940</wp:posOffset>
            </wp:positionV>
            <wp:extent cx="542925" cy="381000"/>
            <wp:effectExtent l="0" t="0" r="571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542925" cy="38100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2020年11月09日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724800" behindDoc="0" locked="0" layoutInCell="1" allowOverlap="1">
                  <wp:simplePos x="0" y="0"/>
                  <wp:positionH relativeFrom="column">
                    <wp:posOffset>549275</wp:posOffset>
                  </wp:positionH>
                  <wp:positionV relativeFrom="paragraph">
                    <wp:posOffset>168275</wp:posOffset>
                  </wp:positionV>
                  <wp:extent cx="542925" cy="381000"/>
                  <wp:effectExtent l="0" t="0" r="5715" b="0"/>
                  <wp:wrapNone/>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542925" cy="381000"/>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推荐意见：</w:t>
            </w:r>
            <w:r>
              <w:rPr>
                <w:rFonts w:hint="eastAsia" w:ascii="Times New Roman" w:hAnsi="Times New Roman" w:eastAsia="宋体" w:cs="Times New Roman"/>
                <w:b/>
                <w:color w:val="000000"/>
                <w:spacing w:val="-10"/>
                <w:szCs w:val="21"/>
                <w:lang w:eastAsia="zh-CN"/>
              </w:rPr>
              <w:t>■</w:t>
            </w:r>
            <w:r>
              <w:rPr>
                <w:rFonts w:hint="eastAsia" w:ascii="Times New Roman" w:hAnsi="Times New Roman" w:eastAsia="宋体" w:cs="Times New Roman"/>
                <w:b/>
                <w:color w:val="000000"/>
                <w:spacing w:val="-10"/>
                <w:szCs w:val="21"/>
              </w:rPr>
              <w:t>可进行二阶段审核□需再次安排一阶段审核□不进入二阶段审核</w:t>
            </w:r>
            <w:r>
              <w:rPr>
                <w:rFonts w:hint="eastAsia" w:ascii="Times New Roman" w:hAnsi="Times New Roman" w:eastAsia="宋体" w:cs="Times New Roman"/>
                <w:b/>
                <w:color w:val="000000"/>
                <w:spacing w:val="-10"/>
                <w:szCs w:val="21"/>
              </w:rPr>
              <w:tab/>
            </w:r>
          </w:p>
          <w:p>
            <w:pPr>
              <w:pStyle w:val="2"/>
              <w:rPr>
                <w:rFonts w:hint="eastAsia"/>
              </w:rPr>
            </w:pPr>
            <w:r>
              <w:rPr>
                <w:rFonts w:hint="eastAsia" w:ascii="Times New Roman" w:hAnsi="Times New Roman" w:eastAsia="宋体" w:cs="Times New Roman"/>
                <w:b/>
                <w:color w:val="000000"/>
                <w:spacing w:val="-10"/>
                <w:szCs w:val="21"/>
              </w:rPr>
              <w:drawing>
                <wp:anchor distT="0" distB="0" distL="114300" distR="114300" simplePos="0" relativeHeight="251792384" behindDoc="0" locked="0" layoutInCell="1" allowOverlap="1">
                  <wp:simplePos x="0" y="0"/>
                  <wp:positionH relativeFrom="column">
                    <wp:posOffset>527685</wp:posOffset>
                  </wp:positionH>
                  <wp:positionV relativeFrom="paragraph">
                    <wp:posOffset>116840</wp:posOffset>
                  </wp:positionV>
                  <wp:extent cx="556895" cy="390525"/>
                  <wp:effectExtent l="0" t="0" r="6985" b="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6"/>
                          <a:stretch>
                            <a:fillRect/>
                          </a:stretch>
                        </pic:blipFill>
                        <pic:spPr>
                          <a:xfrm>
                            <a:off x="0" y="0"/>
                            <a:ext cx="556895" cy="390525"/>
                          </a:xfrm>
                          <a:prstGeom prst="rect">
                            <a:avLst/>
                          </a:prstGeom>
                          <a:noFill/>
                          <a:ln>
                            <a:noFill/>
                          </a:ln>
                        </pic:spPr>
                      </pic:pic>
                    </a:graphicData>
                  </a:graphic>
                </wp:anchor>
              </w:drawing>
            </w:r>
          </w:p>
          <w:p>
            <w:pPr>
              <w:spacing w:line="280" w:lineRule="exact"/>
            </w:pPr>
            <w:r>
              <w:rPr>
                <w:rFonts w:hint="eastAsia" w:ascii="Times New Roman" w:hAnsi="Times New Roman" w:eastAsia="宋体" w:cs="Times New Roman"/>
                <w:b/>
                <w:color w:val="000000"/>
                <w:spacing w:val="-10"/>
                <w:szCs w:val="21"/>
              </w:rPr>
              <w:t>验证人：</w:t>
            </w:r>
            <w:r>
              <w:rPr>
                <w:rFonts w:hint="eastAsia" w:ascii="Times New Roman" w:hAnsi="Times New Roman" w:eastAsia="宋体" w:cs="Times New Roman"/>
                <w:b/>
                <w:color w:val="000000"/>
                <w:spacing w:val="-10"/>
                <w:szCs w:val="21"/>
                <w:lang w:val="en-US" w:eastAsia="zh-CN"/>
              </w:rPr>
              <w:t xml:space="preserve">             </w:t>
            </w:r>
            <w:r>
              <w:rPr>
                <w:rFonts w:hint="eastAsia" w:ascii="Times New Roman" w:hAnsi="Times New Roman" w:eastAsia="宋体" w:cs="Times New Roman"/>
                <w:b/>
                <w:color w:val="000000"/>
                <w:spacing w:val="-10"/>
                <w:szCs w:val="21"/>
              </w:rPr>
              <w:t>日期：2020年11月09日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B65E9"/>
    <w:rsid w:val="06425FDF"/>
    <w:rsid w:val="07B56CE3"/>
    <w:rsid w:val="08BE0D87"/>
    <w:rsid w:val="219C5DB7"/>
    <w:rsid w:val="2313240E"/>
    <w:rsid w:val="24D14150"/>
    <w:rsid w:val="27A34096"/>
    <w:rsid w:val="2F3F66A8"/>
    <w:rsid w:val="2FA737B0"/>
    <w:rsid w:val="3177679D"/>
    <w:rsid w:val="38DC3AFE"/>
    <w:rsid w:val="3BFA513E"/>
    <w:rsid w:val="3C320FFD"/>
    <w:rsid w:val="556A1458"/>
    <w:rsid w:val="57175152"/>
    <w:rsid w:val="5CF41D5F"/>
    <w:rsid w:val="65666BEB"/>
    <w:rsid w:val="6F590952"/>
    <w:rsid w:val="70F804FC"/>
    <w:rsid w:val="7A756383"/>
    <w:rsid w:val="7EAB0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2020-11-18T08:17:36Z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