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b/>
                <w:szCs w:val="21"/>
              </w:rPr>
              <w:t>□F</w:t>
            </w:r>
            <w:r>
              <w:rPr>
                <w:b/>
                <w:szCs w:val="21"/>
              </w:rPr>
              <w:t>S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szCs w:val="21"/>
              </w:rPr>
              <w:t>杭州品尚物业服务集团有限公司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项目部（盛奥铭座）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李志强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现场查看农药等管理情况发现：</w:t>
            </w: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提供了农药领用记录，发现未对敌敌畏、百草枯、杀虫双等危化品提供MSDS，现场也未见上锁等必要的防护管理。</w:t>
            </w:r>
          </w:p>
          <w:p>
            <w:pPr>
              <w:spacing w:before="120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19001-2016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□ISO 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:201</w:t>
            </w:r>
            <w:r>
              <w:rPr>
                <w:rFonts w:ascii="宋体" w:hAnsi="宋体"/>
                <w:b/>
                <w:sz w:val="22"/>
                <w:szCs w:val="22"/>
              </w:rPr>
              <w:t>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8.5.4.5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</w:t>
            </w:r>
            <w:r>
              <w:rPr>
                <w:rFonts w:ascii="宋体" w:hAnsi="宋体"/>
                <w:b/>
                <w:sz w:val="22"/>
                <w:szCs w:val="22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ascii="宋体" w:hAnsi="宋体"/>
                <w:b/>
                <w:sz w:val="22"/>
                <w:szCs w:val="22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/>
                <w:b/>
                <w:sz w:val="22"/>
                <w:szCs w:val="22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45001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:20</w:t>
            </w:r>
            <w:r>
              <w:rPr>
                <w:rFonts w:ascii="宋体" w:hAnsi="宋体"/>
                <w:b/>
                <w:sz w:val="22"/>
                <w:szCs w:val="22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before="156" w:beforeLines="5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szCs w:val="21"/>
              </w:rPr>
              <w:drawing>
                <wp:inline distT="0" distB="0" distL="0" distR="0">
                  <wp:extent cx="573405" cy="313690"/>
                  <wp:effectExtent l="0" t="0" r="5715" b="635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97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1"/>
              </w:rPr>
              <w:drawing>
                <wp:inline distT="0" distB="0" distL="0" distR="0">
                  <wp:extent cx="659765" cy="309880"/>
                  <wp:effectExtent l="0" t="0" r="10795" b="1016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038" cy="313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0" distR="0">
                  <wp:extent cx="688340" cy="340360"/>
                  <wp:effectExtent l="0" t="0" r="12700" b="1016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32" cy="342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szCs w:val="21"/>
              </w:rPr>
              <w:drawing>
                <wp:inline distT="0" distB="0" distL="0" distR="0">
                  <wp:extent cx="573405" cy="313690"/>
                  <wp:effectExtent l="0" t="0" r="5715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97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2020.11.25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ascii="方正仿宋简体" w:eastAsia="方正仿宋简体"/>
                <w:b/>
                <w:sz w:val="24"/>
              </w:rPr>
              <w:t>2020.11.25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2020.11.25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杭州品尚物业服务集团有限公司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行政管理办公室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王香玉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hAnsi="Times New Roman" w:eastAsia="方正仿宋简体" w:cs="Times New Roman"/>
                <w:b/>
                <w:lang w:val="en-US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未识别和评价 《物业管理条例》、《浙江省物业管理条例》、GB3096-2008《城市环境噪音标准》、GBZ2.1-2019《工作场所有害因素职业接触限值 第1部分：化学有害因素》和GBZ2.2-2017《工作场所有害因素职业接触限值 第2部分：物理因素》等法规标准文件。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28001-2011 idt OHSAS 18001:2007标准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szCs w:val="21"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92075</wp:posOffset>
                  </wp:positionV>
                  <wp:extent cx="573405" cy="313690"/>
                  <wp:effectExtent l="0" t="0" r="5715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97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</w:t>
            </w:r>
            <w:r>
              <w:rPr>
                <w:szCs w:val="21"/>
              </w:rPr>
              <w:drawing>
                <wp:inline distT="0" distB="0" distL="0" distR="0">
                  <wp:extent cx="573405" cy="313690"/>
                  <wp:effectExtent l="0" t="0" r="5715" b="635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597" cy="316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9163B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2020-11-29T02:38:29Z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