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sz w:val="24"/>
                <w:szCs w:val="24"/>
                <w:lang w:val="en-US" w:eastAsia="zh-CN"/>
              </w:rPr>
            </w:pPr>
            <w:r>
              <w:rPr>
                <w:rFonts w:hint="eastAsia"/>
                <w:sz w:val="24"/>
                <w:szCs w:val="24"/>
              </w:rPr>
              <w:t>审核员：</w:t>
            </w:r>
            <w:r>
              <w:rPr>
                <w:rFonts w:hint="eastAsia"/>
                <w:sz w:val="21"/>
                <w:szCs w:val="21"/>
                <w:lang w:val="en-US" w:eastAsia="zh-CN"/>
              </w:rPr>
              <w:t>林兵、王央央、任泽华、严剑江</w:t>
            </w:r>
            <w:r>
              <w:rPr>
                <w:rFonts w:hint="eastAsia"/>
                <w:sz w:val="24"/>
                <w:szCs w:val="24"/>
                <w:lang w:val="en-US" w:eastAsia="zh-CN"/>
              </w:rPr>
              <w:t xml:space="preserve">    </w:t>
            </w:r>
          </w:p>
          <w:p>
            <w:pPr>
              <w:spacing w:before="120"/>
              <w:rPr>
                <w:rFonts w:hint="default"/>
                <w:lang w:val="en-US"/>
              </w:rPr>
            </w:pPr>
            <w:r>
              <w:rPr>
                <w:rFonts w:hint="eastAsia"/>
                <w:sz w:val="24"/>
                <w:szCs w:val="24"/>
              </w:rPr>
              <w:t>审核时间：</w:t>
            </w:r>
            <w:r>
              <w:rPr>
                <w:rFonts w:hint="eastAsia"/>
                <w:sz w:val="24"/>
                <w:szCs w:val="24"/>
                <w:lang w:val="en-US" w:eastAsia="zh-CN"/>
              </w:rPr>
              <w:t>2020年11月21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szCs w:val="22"/>
                <w:u w:val="single"/>
                <w:lang w:val="en-US" w:eastAsia="zh-CN"/>
              </w:rPr>
              <w:t>焦德尚</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班小许</w:t>
            </w:r>
            <w:r>
              <w:rPr>
                <w:rFonts w:hint="eastAsia" w:ascii="宋体" w:hAnsi="宋体"/>
                <w:szCs w:val="22"/>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u w:val="single"/>
              </w:rPr>
              <w:t>：</w:t>
            </w:r>
            <w:r>
              <w:rPr>
                <w:rFonts w:hint="eastAsia" w:ascii="宋体" w:hAnsi="宋体"/>
                <w:u w:val="single"/>
                <w:lang w:val="en-US" w:eastAsia="zh-CN"/>
              </w:rPr>
              <w:t>王香玉</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335</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）各体系人数：/E/0 ：</w:t>
            </w:r>
            <w:r>
              <w:rPr>
                <w:rFonts w:hint="eastAsia" w:ascii="宋体" w:hAnsi="宋体"/>
                <w:u w:val="single"/>
                <w:lang w:val="en-US" w:eastAsia="zh-CN"/>
              </w:rPr>
              <w:t>335</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lang w:val="en-US" w:eastAsia="zh-CN"/>
              </w:rPr>
              <w:t>一</w:t>
            </w:r>
            <w:r>
              <w:rPr>
                <w:rFonts w:hint="eastAsia" w:ascii="宋体" w:hAnsi="宋体"/>
                <w:szCs w:val="21"/>
                <w:u w:val="single"/>
              </w:rPr>
              <w:t>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 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sz w:val="20"/>
              </w:rPr>
            </w:pPr>
            <w:bookmarkStart w:id="0" w:name="审核范围"/>
            <w:r>
              <w:rPr>
                <w:sz w:val="20"/>
              </w:rPr>
              <w:t>E：物业管理服务所涉及的相关环境管理活动</w:t>
            </w:r>
          </w:p>
          <w:p>
            <w:pPr>
              <w:adjustRightInd w:val="0"/>
              <w:spacing w:line="280" w:lineRule="exact"/>
              <w:jc w:val="left"/>
            </w:pPr>
            <w:r>
              <w:rPr>
                <w:sz w:val="20"/>
              </w:rPr>
              <w:t>O：物业管理服务所涉及的相关职业健康安全管理活动</w:t>
            </w:r>
            <w:bookmarkEnd w:id="0"/>
            <w:r>
              <w:rPr>
                <w:rFonts w:hint="eastAsia"/>
                <w:sz w:val="18"/>
                <w:szCs w:val="18"/>
                <w:lang w:val="en-US" w:eastAsia="zh-CN"/>
              </w:rPr>
              <w:t xml:space="preserve"> </w:t>
            </w:r>
            <w:r>
              <w:rPr>
                <w:rFonts w:hint="eastAsia" w:ascii="宋体" w:hAnsi="宋体"/>
                <w:szCs w:val="21"/>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2020年</w:t>
            </w:r>
            <w:r>
              <w:rPr>
                <w:rFonts w:hint="eastAsia" w:ascii="宋体" w:hAnsi="宋体"/>
                <w:u w:val="single"/>
                <w:lang w:val="en-US" w:eastAsia="zh-CN"/>
              </w:rPr>
              <w:t>6</w:t>
            </w:r>
            <w:r>
              <w:rPr>
                <w:rFonts w:hint="eastAsia" w:ascii="宋体" w:hAnsi="宋体"/>
                <w:u w:val="single"/>
              </w:rPr>
              <w:t>月</w:t>
            </w:r>
            <w:r>
              <w:rPr>
                <w:rFonts w:hint="eastAsia" w:ascii="宋体" w:hAnsi="宋体"/>
                <w:u w:val="single"/>
                <w:lang w:val="en-US" w:eastAsia="zh-CN"/>
              </w:rPr>
              <w:t>5日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6</w:t>
            </w:r>
            <w:r>
              <w:rPr>
                <w:rFonts w:hint="eastAsia" w:ascii="宋体" w:hAnsi="宋体"/>
                <w:szCs w:val="22"/>
              </w:rPr>
              <w:t>月</w:t>
            </w:r>
            <w:r>
              <w:rPr>
                <w:rFonts w:hint="eastAsia" w:ascii="宋体" w:hAnsi="宋体"/>
                <w:szCs w:val="22"/>
                <w:lang w:val="en-US" w:eastAsia="zh-CN"/>
              </w:rPr>
              <w:t>5</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ascii="宋体"/>
                <w:szCs w:val="22"/>
              </w:rPr>
            </w:pPr>
            <w:r>
              <w:rPr>
                <w:rFonts w:hint="eastAsia" w:ascii="宋体"/>
                <w:szCs w:val="22"/>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hint="eastAsia" w:ascii="宋体" w:hAnsi="宋体"/>
                <w:szCs w:val="21"/>
              </w:rPr>
            </w:pPr>
            <w:r>
              <w:rPr>
                <w:rFonts w:hint="eastAsia" w:ascii="宋体" w:hAnsi="宋体"/>
                <w:szCs w:val="21"/>
              </w:rPr>
              <w:t>1）过程描述：</w:t>
            </w:r>
          </w:p>
          <w:p>
            <w:pPr>
              <w:adjustRightInd w:val="0"/>
              <w:spacing w:line="360" w:lineRule="auto"/>
              <w:ind w:firstLine="630" w:firstLineChars="300"/>
              <w:jc w:val="left"/>
              <w:rPr>
                <w:rFonts w:hint="default" w:ascii="Times New Roman" w:hAnsi="Times New Roman" w:cs="Times New Roman"/>
                <w:b/>
                <w:sz w:val="20"/>
                <w:szCs w:val="22"/>
                <w:lang w:val="en-US" w:eastAsia="zh-CN"/>
              </w:rPr>
            </w:pPr>
            <w:r>
              <w:rPr>
                <w:rFonts w:hint="eastAsia"/>
                <w:szCs w:val="21"/>
              </w:rPr>
              <w:t>过程：</w:t>
            </w:r>
            <w:r>
              <w:rPr>
                <w:rFonts w:hint="eastAsia"/>
                <w:szCs w:val="21"/>
                <w:lang w:val="en-US" w:eastAsia="zh-CN"/>
              </w:rPr>
              <w:t>相关方需求-准备标书-业主、开发商评估-服务过程策划-物业接管移交-日常物业管理服务-服务质量评定-服务质量改进；</w:t>
            </w:r>
          </w:p>
          <w:p>
            <w:pPr>
              <w:rPr>
                <w:rFonts w:hint="default" w:eastAsia="宋体"/>
                <w:szCs w:val="21"/>
                <w:lang w:val="en-US" w:eastAsia="zh-CN"/>
              </w:rPr>
            </w:pP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szCs w:val="21"/>
                <w:lang w:val="en-US" w:eastAsia="zh-CN"/>
              </w:rPr>
              <w:t>物业接管移交、日常物业管理服务、</w:t>
            </w:r>
            <w:r>
              <w:rPr>
                <w:rFonts w:hint="eastAsia" w:ascii="宋体" w:hAnsi="宋体"/>
              </w:rPr>
              <w:t xml:space="preserve"> </w:t>
            </w:r>
            <w:r>
              <w:rPr>
                <w:rFonts w:hint="eastAsia"/>
                <w:szCs w:val="21"/>
                <w:lang w:val="en-US" w:eastAsia="zh-CN"/>
              </w:rPr>
              <w:t>服务质量评定</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p>
          <w:p>
            <w:pPr>
              <w:tabs>
                <w:tab w:val="left" w:pos="1305"/>
              </w:tabs>
              <w:rPr>
                <w:rFonts w:hint="eastAsia" w:ascii="宋体" w:hAnsi="宋体" w:eastAsia="宋体"/>
                <w:szCs w:val="21"/>
                <w:lang w:eastAsia="zh-CN"/>
              </w:rPr>
            </w:pPr>
            <w:r>
              <w:rPr>
                <w:rFonts w:hint="eastAsia" w:ascii="宋体" w:hAnsi="宋体"/>
              </w:rPr>
              <w:t xml:space="preserve">   </w:t>
            </w:r>
            <w:r>
              <w:rPr>
                <w:rFonts w:hint="eastAsia" w:ascii="宋体" w:hAnsi="宋体"/>
                <w:u w:val="single"/>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w:t>
            </w:r>
            <w:r>
              <w:rPr>
                <w:rFonts w:hint="eastAsia" w:ascii="宋体" w:hAnsi="宋体"/>
                <w:u w:val="single"/>
                <w:lang w:val="en-US" w:eastAsia="zh-CN"/>
              </w:rPr>
              <w:t>服务过程、市场营销</w:t>
            </w:r>
            <w:r>
              <w:rPr>
                <w:rFonts w:hint="eastAsia" w:ascii="宋体" w:hAnsi="宋体"/>
                <w:u w:val="single"/>
              </w:rPr>
              <w:t>过程</w:t>
            </w:r>
            <w:r>
              <w:rPr>
                <w:rFonts w:ascii="宋体" w:hAnsi="宋体"/>
                <w:u w:val="single"/>
              </w:rPr>
              <w:t xml:space="preserve"> </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5</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hint="eastAsia" w:ascii="宋体" w:hAnsi="宋体"/>
                <w:szCs w:val="22"/>
                <w:u w:val="single"/>
              </w:rPr>
            </w:pPr>
            <w:r>
              <w:rPr>
                <w:rFonts w:hint="eastAsia" w:ascii="宋体" w:hAnsi="宋体"/>
                <w:szCs w:val="22"/>
                <w:u w:val="single"/>
              </w:rPr>
              <w:t>污水排放</w:t>
            </w:r>
            <w:r>
              <w:rPr>
                <w:rFonts w:hint="eastAsia" w:ascii="宋体" w:hAnsi="宋体"/>
                <w:szCs w:val="22"/>
                <w:u w:val="single"/>
                <w:lang w:eastAsia="zh-CN"/>
              </w:rPr>
              <w:t>、</w:t>
            </w:r>
            <w:r>
              <w:rPr>
                <w:rFonts w:hint="eastAsia" w:ascii="宋体" w:hAnsi="宋体"/>
                <w:szCs w:val="22"/>
                <w:u w:val="single"/>
              </w:rPr>
              <w:t>粉尘排放</w:t>
            </w:r>
            <w:r>
              <w:rPr>
                <w:rFonts w:hint="eastAsia" w:ascii="宋体" w:hAnsi="宋体"/>
                <w:szCs w:val="22"/>
                <w:u w:val="single"/>
                <w:lang w:eastAsia="zh-CN"/>
              </w:rPr>
              <w:t>、</w:t>
            </w:r>
            <w:r>
              <w:rPr>
                <w:rFonts w:hint="eastAsia" w:ascii="宋体" w:hAnsi="宋体"/>
                <w:szCs w:val="22"/>
                <w:u w:val="single"/>
              </w:rPr>
              <w:t>扬尘排放</w:t>
            </w:r>
            <w:r>
              <w:rPr>
                <w:rFonts w:hint="eastAsia" w:ascii="宋体" w:hAnsi="宋体"/>
                <w:szCs w:val="22"/>
                <w:u w:val="single"/>
                <w:lang w:eastAsia="zh-CN"/>
              </w:rPr>
              <w:t>、</w:t>
            </w:r>
            <w:r>
              <w:rPr>
                <w:rFonts w:hint="eastAsia" w:ascii="宋体" w:hAnsi="宋体"/>
                <w:szCs w:val="22"/>
                <w:u w:val="single"/>
              </w:rPr>
              <w:t>火灾、爆炸</w:t>
            </w:r>
            <w:r>
              <w:rPr>
                <w:rFonts w:hint="eastAsia" w:ascii="宋体" w:hAnsi="宋体"/>
                <w:szCs w:val="22"/>
                <w:u w:val="single"/>
                <w:lang w:eastAsia="zh-CN"/>
              </w:rPr>
              <w:t>、</w:t>
            </w:r>
            <w:r>
              <w:rPr>
                <w:rFonts w:hint="eastAsia" w:ascii="宋体" w:hAnsi="宋体"/>
                <w:szCs w:val="22"/>
                <w:u w:val="single"/>
              </w:rPr>
              <w:t>有毒有害废弃物排放</w:t>
            </w:r>
            <w:r>
              <w:rPr>
                <w:rFonts w:hint="eastAsia" w:ascii="宋体" w:hAnsi="宋体"/>
                <w:szCs w:val="22"/>
                <w:u w:val="single"/>
                <w:lang w:eastAsia="zh-CN"/>
              </w:rPr>
              <w:t>、</w:t>
            </w:r>
            <w:r>
              <w:rPr>
                <w:rFonts w:hint="eastAsia" w:ascii="宋体" w:hAnsi="宋体"/>
                <w:szCs w:val="22"/>
                <w:u w:val="single"/>
              </w:rPr>
              <w:t>车辆尾气排放</w:t>
            </w:r>
            <w:r>
              <w:rPr>
                <w:rFonts w:hint="eastAsia" w:ascii="宋体" w:hAnsi="宋体"/>
                <w:szCs w:val="22"/>
                <w:u w:val="single"/>
              </w:rPr>
              <w:t>。</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tabs>
                <w:tab w:val="left" w:pos="1305"/>
              </w:tabs>
              <w:rPr>
                <w:rFonts w:hint="eastAsia" w:ascii="宋体" w:hAnsi="宋体"/>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办公过程、</w:t>
            </w:r>
            <w:r>
              <w:rPr>
                <w:rFonts w:hint="eastAsia" w:ascii="宋体" w:hAnsi="宋体"/>
                <w:u w:val="single"/>
                <w:lang w:val="en-US" w:eastAsia="zh-CN"/>
              </w:rPr>
              <w:t>服务过程、市场营销</w:t>
            </w:r>
            <w:r>
              <w:rPr>
                <w:rFonts w:hint="eastAsia" w:ascii="宋体" w:hAnsi="宋体"/>
                <w:u w:val="single"/>
              </w:rPr>
              <w:t>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hint="eastAsia" w:ascii="宋体" w:hAnsi="宋体"/>
                <w:u w:val="single"/>
                <w:lang w:val="en-US" w:eastAsia="zh-CN"/>
              </w:rPr>
              <w:t>7</w:t>
            </w:r>
            <w:r>
              <w:rPr>
                <w:rFonts w:ascii="宋体" w:hAnsi="宋体"/>
                <w:u w:val="single"/>
              </w:rPr>
              <w:t xml:space="preserve">  </w:t>
            </w:r>
            <w:r>
              <w:rPr>
                <w:rFonts w:hint="eastAsia" w:ascii="宋体" w:hAnsi="宋体"/>
              </w:rPr>
              <w:t>项，包括：</w:t>
            </w:r>
          </w:p>
          <w:p>
            <w:pPr>
              <w:adjustRightInd w:val="0"/>
              <w:spacing w:line="360" w:lineRule="auto"/>
              <w:jc w:val="left"/>
              <w:rPr>
                <w:rFonts w:hint="eastAsia" w:ascii="宋体" w:hAnsi="宋体"/>
                <w:szCs w:val="22"/>
                <w:u w:val="single"/>
                <w:lang w:val="en-US" w:eastAsia="zh-CN"/>
              </w:rPr>
            </w:pPr>
            <w:r>
              <w:rPr>
                <w:rFonts w:hint="eastAsia" w:ascii="宋体" w:hAnsi="宋体"/>
                <w:szCs w:val="22"/>
                <w:u w:val="single"/>
                <w:lang w:val="en-US" w:eastAsia="zh-CN"/>
              </w:rPr>
              <w:t>疫情感染、</w:t>
            </w:r>
            <w:r>
              <w:rPr>
                <w:rFonts w:hint="eastAsia" w:ascii="宋体" w:hAnsi="宋体"/>
                <w:szCs w:val="22"/>
                <w:u w:val="single"/>
              </w:rPr>
              <w:t>触电</w:t>
            </w:r>
            <w:r>
              <w:rPr>
                <w:rFonts w:hint="eastAsia" w:ascii="宋体" w:hAnsi="宋体"/>
                <w:szCs w:val="22"/>
                <w:u w:val="single"/>
                <w:lang w:eastAsia="zh-CN"/>
              </w:rPr>
              <w:t>、</w:t>
            </w:r>
            <w:r>
              <w:rPr>
                <w:rFonts w:hint="eastAsia" w:ascii="宋体" w:hAnsi="宋体"/>
                <w:szCs w:val="22"/>
                <w:u w:val="single"/>
              </w:rPr>
              <w:t>高空坠落砸伤</w:t>
            </w:r>
            <w:r>
              <w:rPr>
                <w:rFonts w:hint="eastAsia" w:ascii="宋体" w:hAnsi="宋体"/>
                <w:szCs w:val="22"/>
                <w:u w:val="single"/>
                <w:lang w:eastAsia="zh-CN"/>
              </w:rPr>
              <w:t>、</w:t>
            </w:r>
            <w:r>
              <w:rPr>
                <w:rFonts w:hint="eastAsia" w:ascii="宋体" w:hAnsi="宋体"/>
                <w:szCs w:val="22"/>
                <w:u w:val="single"/>
              </w:rPr>
              <w:t>中毒</w:t>
            </w:r>
            <w:r>
              <w:rPr>
                <w:rFonts w:hint="eastAsia" w:ascii="宋体" w:hAnsi="宋体"/>
                <w:szCs w:val="22"/>
                <w:u w:val="single"/>
                <w:lang w:eastAsia="zh-CN"/>
              </w:rPr>
              <w:t>、</w:t>
            </w:r>
            <w:r>
              <w:rPr>
                <w:rFonts w:hint="eastAsia" w:ascii="宋体" w:hAnsi="宋体"/>
                <w:szCs w:val="22"/>
                <w:u w:val="single"/>
              </w:rPr>
              <w:t>中暑、冻伤</w:t>
            </w:r>
            <w:r>
              <w:rPr>
                <w:rFonts w:hint="eastAsia" w:ascii="宋体" w:hAnsi="宋体"/>
                <w:szCs w:val="22"/>
                <w:u w:val="single"/>
                <w:lang w:eastAsia="zh-CN"/>
              </w:rPr>
              <w:t>、</w:t>
            </w:r>
            <w:r>
              <w:rPr>
                <w:rFonts w:hint="eastAsia" w:ascii="宋体" w:hAnsi="宋体"/>
                <w:szCs w:val="22"/>
                <w:u w:val="single"/>
              </w:rPr>
              <w:t>火灾</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sym w:font="Wingdings 2" w:char="0052"/>
            </w:r>
            <w:r>
              <w:rPr>
                <w:rFonts w:hint="eastAsia" w:ascii="宋体" w:hAnsi="宋体"/>
                <w:szCs w:val="21"/>
              </w:rPr>
              <w:t>齐全</w:t>
            </w:r>
          </w:p>
          <w:p>
            <w:pPr>
              <w:tabs>
                <w:tab w:val="left" w:pos="1305"/>
              </w:tabs>
              <w:rPr>
                <w:rFonts w:hint="eastAsia" w:ascii="宋体" w:hAnsi="宋体"/>
                <w:szCs w:val="21"/>
              </w:rPr>
            </w:pPr>
            <w:r>
              <w:rPr>
                <w:rFonts w:hint="eastAsia" w:ascii="宋体" w:hAnsi="宋体"/>
                <w:szCs w:val="21"/>
              </w:rPr>
              <w:sym w:font="Wingdings 2" w:char="00A3"/>
            </w: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A3"/>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A3"/>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A3"/>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质量法、中华人民共和国消防法（2009）、</w:t>
            </w:r>
            <w:r>
              <w:rPr>
                <w:rFonts w:hint="eastAsia" w:ascii="宋体" w:hAnsi="宋体"/>
                <w:szCs w:val="24"/>
                <w:highlight w:val="none"/>
                <w:u w:val="single"/>
                <w:lang w:eastAsia="zh-CN"/>
              </w:rPr>
              <w:t>《</w:t>
            </w:r>
            <w:r>
              <w:rPr>
                <w:rFonts w:hint="eastAsia" w:ascii="宋体" w:hAnsi="宋体"/>
                <w:szCs w:val="24"/>
                <w:highlight w:val="none"/>
                <w:u w:val="single"/>
                <w:lang w:val="en-US" w:eastAsia="zh-CN"/>
              </w:rPr>
              <w:t>物业管理条例</w:t>
            </w:r>
            <w:r>
              <w:rPr>
                <w:rFonts w:hint="eastAsia" w:ascii="宋体" w:hAnsi="宋体"/>
                <w:szCs w:val="24"/>
                <w:highlight w:val="none"/>
                <w:u w:val="single"/>
                <w:lang w:eastAsia="zh-CN"/>
              </w:rPr>
              <w:t>》、《</w:t>
            </w:r>
            <w:r>
              <w:rPr>
                <w:rFonts w:hint="eastAsia" w:ascii="宋体" w:hAnsi="宋体"/>
                <w:szCs w:val="24"/>
                <w:highlight w:val="none"/>
                <w:u w:val="single"/>
                <w:lang w:val="en-US" w:eastAsia="zh-CN"/>
              </w:rPr>
              <w:t>浙江省物业管理条例</w:t>
            </w:r>
            <w:r>
              <w:rPr>
                <w:rFonts w:hint="eastAsia" w:ascii="宋体" w:hAnsi="宋体"/>
                <w:szCs w:val="24"/>
                <w:highlight w:val="none"/>
                <w:u w:val="single"/>
                <w:lang w:eastAsia="zh-CN"/>
              </w:rPr>
              <w:t>》</w:t>
            </w:r>
            <w:r>
              <w:rPr>
                <w:rFonts w:hint="eastAsia" w:ascii="宋体" w:hAnsi="宋体"/>
                <w:szCs w:val="24"/>
                <w:highlight w:val="none"/>
                <w:u w:val="single"/>
                <w:lang w:val="en-US" w:eastAsia="zh-CN"/>
              </w:rPr>
              <w:t xml:space="preserve">、《劳动法》、《国家危险废物名录》、《废弃危险化学品污染环境防治办法》、《杭州市扬尘污染防治管理办法》、《中华人民共和国环境噪声污染防治法》    </w:t>
            </w:r>
            <w:r>
              <w:rPr>
                <w:rFonts w:hint="eastAsia" w:ascii="宋体" w:hAnsi="宋体"/>
                <w:szCs w:val="24"/>
                <w:highlight w:val="none"/>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hAnsi="Times New Roman" w:cs="Times New Roman"/>
                <w:szCs w:val="22"/>
                <w:u w:val="single"/>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szCs w:val="24"/>
                <w:highlight w:val="none"/>
                <w:u w:val="single"/>
                <w:lang w:eastAsia="zh-CN"/>
              </w:rPr>
              <w:t>《</w:t>
            </w:r>
            <w:r>
              <w:rPr>
                <w:rFonts w:hint="eastAsia" w:ascii="宋体" w:hAnsi="宋体"/>
                <w:szCs w:val="24"/>
                <w:highlight w:val="none"/>
                <w:u w:val="single"/>
                <w:lang w:val="en-US" w:eastAsia="zh-CN"/>
              </w:rPr>
              <w:t>物业管理条例</w:t>
            </w:r>
            <w:r>
              <w:rPr>
                <w:rFonts w:hint="eastAsia" w:ascii="宋体" w:hAnsi="宋体"/>
                <w:szCs w:val="24"/>
                <w:highlight w:val="none"/>
                <w:u w:val="single"/>
                <w:lang w:eastAsia="zh-CN"/>
              </w:rPr>
              <w:t>》、</w:t>
            </w:r>
            <w:r>
              <w:rPr>
                <w:rFonts w:hint="eastAsia" w:ascii="宋体" w:hAnsi="宋体"/>
                <w:szCs w:val="24"/>
                <w:highlight w:val="none"/>
                <w:u w:val="single"/>
                <w:lang w:val="en-US" w:eastAsia="zh-CN"/>
              </w:rPr>
              <w:t xml:space="preserve"> </w:t>
            </w:r>
            <w:bookmarkStart w:id="1" w:name="_GoBack"/>
            <w:bookmarkEnd w:id="1"/>
            <w:r>
              <w:rPr>
                <w:rFonts w:hint="eastAsia" w:ascii="宋体" w:hAnsi="宋体"/>
                <w:szCs w:val="24"/>
                <w:highlight w:val="none"/>
                <w:u w:val="single"/>
                <w:lang w:eastAsia="zh-CN"/>
              </w:rPr>
              <w:t>《</w:t>
            </w:r>
            <w:r>
              <w:rPr>
                <w:rFonts w:hint="eastAsia" w:ascii="宋体" w:hAnsi="宋体"/>
                <w:szCs w:val="24"/>
                <w:highlight w:val="none"/>
                <w:u w:val="single"/>
                <w:lang w:val="en-US" w:eastAsia="zh-CN"/>
              </w:rPr>
              <w:t>浙江省物业管理条例</w:t>
            </w:r>
            <w:r>
              <w:rPr>
                <w:rFonts w:hint="eastAsia" w:ascii="宋体" w:hAnsi="宋体"/>
                <w:szCs w:val="24"/>
                <w:highlight w:val="none"/>
                <w:u w:val="single"/>
                <w:lang w:eastAsia="zh-CN"/>
              </w:rPr>
              <w:t>》</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eastAsia="宋体" w:cs="宋体"/>
                <w:szCs w:val="21"/>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3"/>
              <w:numPr>
                <w:ilvl w:val="0"/>
                <w:numId w:val="1"/>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lang w:val="en-US" w:eastAsia="zh-CN"/>
              </w:rPr>
              <w:t>5</w:t>
            </w:r>
            <w:r>
              <w:rPr>
                <w:rFonts w:hint="eastAsia" w:ascii="宋体" w:hAnsi="宋体"/>
              </w:rPr>
              <w:t>日至</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6</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sym w:font="Wingdings 2" w:char="00A3"/>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2"/>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2"/>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20</w:t>
            </w:r>
            <w:r>
              <w:rPr>
                <w:rFonts w:hint="eastAsia" w:ascii="宋体" w:hAnsi="宋体"/>
                <w:u w:val="single"/>
              </w:rPr>
              <w:t>　</w:t>
            </w:r>
            <w:r>
              <w:rPr>
                <w:rFonts w:hint="eastAsia" w:ascii="宋体" w:hAnsi="宋体"/>
              </w:rPr>
              <w:t>日实施，由最高管理者：</w:t>
            </w:r>
            <w:r>
              <w:rPr>
                <w:rFonts w:hint="eastAsia" w:ascii="宋体" w:hAnsi="宋体"/>
                <w:lang w:val="en-US" w:eastAsia="zh-CN"/>
              </w:rPr>
              <w:t>焦德尚</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3"/>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rPr>
              <w:sym w:font="Wingdings 2" w:char="00A3"/>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szCs w:val="22"/>
                <w:u w:val="single"/>
              </w:rPr>
              <w:t>环境</w:t>
            </w:r>
            <w:r>
              <w:rPr>
                <w:rFonts w:ascii="宋体" w:hAnsi="宋体"/>
                <w:szCs w:val="22"/>
                <w:u w:val="single"/>
              </w:rPr>
              <w:t>职</w:t>
            </w:r>
            <w:r>
              <w:rPr>
                <w:rFonts w:ascii="宋体" w:hAnsi="宋体"/>
                <w:u w:val="single"/>
              </w:rPr>
              <w:t>业健康</w:t>
            </w:r>
            <w:r>
              <w:rPr>
                <w:rFonts w:hint="eastAsia" w:ascii="宋体" w:hAnsi="宋体"/>
                <w:u w:val="single"/>
              </w:rPr>
              <w:t>安全管理体系运行是有效的，资源提供是充分的，方针目标是适宜的。</w:t>
            </w:r>
          </w:p>
        </w:tc>
        <w:tc>
          <w:tcPr>
            <w:tcW w:w="1585" w:type="dxa"/>
          </w:tc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FD5530"/>
    <w:rsid w:val="41CB3DFC"/>
    <w:rsid w:val="42301E78"/>
    <w:rsid w:val="464D6DE8"/>
    <w:rsid w:val="4921247A"/>
    <w:rsid w:val="7409059C"/>
    <w:rsid w:val="747646BA"/>
    <w:rsid w:val="752927BF"/>
    <w:rsid w:val="7F633B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2020-11-29T02:12:52Z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