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38"/>
        <w:gridCol w:w="840"/>
        <w:gridCol w:w="8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杭州品尚物业服务集团有限公司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严建江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相关方需求-准备标书-业主、开发商评估-服务过程策划-物业接管移交-日常物业管理服务-服务质量评定-服务质量改进；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物业服务全过程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办公固废（墨盒、硒鼓、灯管）办公室统一收集，由供方回收；排放火灾发生能源、资源的消耗，由办公室组织统一检查；服务现场垃圾分类管理；化学品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抽烟、焚烧、电线短路等火源导致的火灾，服务场所的人员安全防护（如疫情）；人为治安、盗窃、暴力伤害导致的人员伤害、伤亡等；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物业管理条例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浙江省物业管理条例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、《劳动法》、《国家危险废物名录》、《废弃危险化学品污染环境防治办法》、《杭州市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扬尘污染防治管理办法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Times New Roman" w:hAnsi="Times New Roman" w:cs="Times New Roman"/>
          <w:b/>
          <w:sz w:val="20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严建江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20"/>
          <w:szCs w:val="22"/>
          <w:lang w:val="en-US" w:eastAsia="zh-CN"/>
        </w:rPr>
        <w:t xml:space="preserve">  2020-11-20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Times New Roman" w:hAnsi="Times New Roman" w:cs="Times New Roman"/>
          <w:b/>
          <w:sz w:val="20"/>
          <w:szCs w:val="22"/>
          <w:lang w:val="en-US" w:eastAsia="zh-CN"/>
        </w:rPr>
        <w:t xml:space="preserve"> 审核组长：  林兵   日期：2020-11-20</w:t>
      </w:r>
    </w:p>
    <w:p>
      <w:pPr>
        <w:snapToGrid w:val="0"/>
        <w:rPr>
          <w:rFonts w:hint="eastAsia" w:ascii="Times New Roman" w:hAnsi="Times New Roman" w:cs="Times New Roman"/>
          <w:b/>
          <w:sz w:val="20"/>
          <w:szCs w:val="22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277C65"/>
    <w:rsid w:val="27CD63EE"/>
    <w:rsid w:val="5703202D"/>
    <w:rsid w:val="7DFC0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  <w:b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2020-11-27T04:22:12Z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