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hint="default" w:eastAsia="楷体"/>
          <w:lang w:val="en-US" w:eastAsia="zh-CN"/>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云锦时代（北京）供应链管理有限公司</w:t>
      </w:r>
      <w:bookmarkEnd w:id="0"/>
    </w:p>
    <w:p>
      <w:pPr>
        <w:snapToGrid w:val="0"/>
        <w:spacing w:after="93"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STKaiti" w:hAnsi="STKaiti" w:eastAsia="STKaiti" w:cs="STKaiti"/>
          <w:b/>
          <w:color w:val="000000" w:themeColor="text1"/>
          <w:sz w:val="36"/>
          <w:szCs w:val="36"/>
        </w:rPr>
        <w:t xml:space="preserve">   北京</w:t>
      </w:r>
      <w:r>
        <w:rPr>
          <w:rFonts w:hint="eastAsia" w:ascii="STKaiti" w:hAnsi="STKaiti" w:eastAsia="STKaiti" w:cs="STKaiti"/>
          <w:b/>
          <w:color w:val="000000"/>
          <w:sz w:val="36"/>
          <w:szCs w:val="36"/>
        </w:rPr>
        <w:t>国标联合</w:t>
      </w:r>
      <w:r>
        <w:rPr>
          <w:rFonts w:hint="eastAsia" w:ascii="STKaiti" w:hAnsi="STKaiti" w:eastAsia="STKaiti" w:cs="STKaiti"/>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Q:31.04.01</w:t>
            </w:r>
          </w:p>
          <w:p>
            <w:pPr>
              <w:spacing w:line="240" w:lineRule="exact"/>
              <w:jc w:val="center"/>
              <w:rPr>
                <w:b/>
                <w:color w:val="000000" w:themeColor="text1"/>
                <w:sz w:val="20"/>
                <w:szCs w:val="20"/>
              </w:rPr>
            </w:pPr>
            <w:r>
              <w:rPr>
                <w:b/>
                <w:color w:val="000000" w:themeColor="text1"/>
                <w:sz w:val="20"/>
                <w:szCs w:val="20"/>
              </w:rPr>
              <w:t>E:31.04.01</w:t>
            </w:r>
          </w:p>
          <w:p>
            <w:pPr>
              <w:spacing w:line="240" w:lineRule="exact"/>
              <w:jc w:val="center"/>
              <w:rPr>
                <w:b/>
                <w:color w:val="000000" w:themeColor="text1"/>
                <w:sz w:val="20"/>
                <w:szCs w:val="20"/>
              </w:rPr>
            </w:pPr>
            <w:r>
              <w:rPr>
                <w:b/>
                <w:color w:val="000000" w:themeColor="text1"/>
                <w:sz w:val="20"/>
                <w:szCs w:val="20"/>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eastAsia="zh-CN"/>
        </w:rPr>
        <w:t>GB/T45001-2020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云锦时代（北京）供应链管理有限公司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北京市平谷区平谷镇平翔东园53排3号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生产经营地址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北京市昌平区马池口镇西坨村物流院</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赫炳炎</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13810168440</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吴昊</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吴昊</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赫炳炎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 w:name="审核范围"/>
            <w:r>
              <w:rPr>
                <w:rFonts w:ascii="宋体" w:hAnsi="宋体"/>
                <w:b/>
                <w:color w:val="000000" w:themeColor="text1"/>
                <w:sz w:val="20"/>
                <w:szCs w:val="20"/>
              </w:rPr>
              <w:t>Q：许可范围内普通货运服务</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E：许可范围内普通货运服务所涉及的相关环境管理活动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O：许可范围内普通货运服务所涉及的相关职业健康安全管理活动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Q：31.04.01</w:t>
            </w:r>
          </w:p>
          <w:p>
            <w:pPr>
              <w:spacing w:line="320" w:lineRule="exact"/>
              <w:rPr>
                <w:rFonts w:ascii="宋体" w:hAnsi="宋体"/>
                <w:b/>
                <w:color w:val="000000" w:themeColor="text1"/>
                <w:sz w:val="20"/>
                <w:szCs w:val="20"/>
              </w:rPr>
            </w:pPr>
            <w:r>
              <w:rPr>
                <w:rFonts w:ascii="宋体" w:hAnsi="宋体"/>
                <w:b/>
                <w:color w:val="000000" w:themeColor="text1"/>
                <w:sz w:val="20"/>
                <w:szCs w:val="20"/>
              </w:rPr>
              <w:t>E：31.04.01</w:t>
            </w:r>
          </w:p>
          <w:p>
            <w:pPr>
              <w:spacing w:line="320" w:lineRule="exact"/>
              <w:rPr>
                <w:rFonts w:ascii="宋体" w:hAnsi="宋体"/>
                <w:b/>
                <w:color w:val="000000" w:themeColor="text1"/>
                <w:sz w:val="20"/>
                <w:szCs w:val="20"/>
              </w:rPr>
            </w:pPr>
            <w:r>
              <w:rPr>
                <w:rFonts w:ascii="宋体" w:hAnsi="宋体"/>
                <w:b/>
                <w:color w:val="000000" w:themeColor="text1"/>
                <w:sz w:val="20"/>
                <w:szCs w:val="20"/>
              </w:rPr>
              <w:t>O：31.04.01</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3" w:name="体系运行时间"/>
            <w:r>
              <w:rPr>
                <w:rFonts w:ascii="宋体" w:hAnsi="宋体"/>
                <w:b/>
                <w:color w:val="000000" w:themeColor="text1"/>
                <w:sz w:val="20"/>
                <w:szCs w:val="20"/>
              </w:rPr>
              <w:t>2020-03-15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pStyle w:val="2"/>
            </w:pP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p>
          <w:p>
            <w:pPr>
              <w:jc w:val="center"/>
              <w:rPr>
                <w:rFonts w:ascii="宋体" w:hAnsi="宋体" w:eastAsia="宋体" w:cs="Times New Roman"/>
                <w:b/>
                <w:color w:val="000000" w:themeColor="text1"/>
                <w:kern w:val="2"/>
                <w:sz w:val="20"/>
                <w:szCs w:val="20"/>
                <w:lang w:val="en-US" w:eastAsia="zh-CN" w:bidi="ar-SA"/>
              </w:rPr>
            </w:pPr>
            <w:r>
              <w:rPr>
                <w:rFonts w:hint="eastAsia"/>
              </w:rPr>
              <w:t>运营管理部</w:t>
            </w:r>
          </w:p>
        </w:tc>
        <w:tc>
          <w:tcPr>
            <w:tcW w:w="6804" w:type="dxa"/>
            <w:vAlign w:val="top"/>
          </w:tcPr>
          <w:p>
            <w:pPr>
              <w:rPr>
                <w:rFonts w:hint="eastAsia" w:ascii="宋体" w:hAnsi="宋体" w:cs="Times New Roman"/>
                <w:sz w:val="18"/>
                <w:szCs w:val="18"/>
              </w:rPr>
            </w:pPr>
            <w:r>
              <w:rPr>
                <w:rFonts w:hint="eastAsia" w:ascii="宋体" w:hAnsi="宋体" w:cs="Times New Roman"/>
                <w:sz w:val="18"/>
                <w:szCs w:val="18"/>
              </w:rPr>
              <w:t>人力资源管理过程</w:t>
            </w:r>
          </w:p>
          <w:p>
            <w:pPr>
              <w:rPr>
                <w:rFonts w:hint="eastAsia" w:ascii="宋体" w:hAnsi="宋体" w:cs="Times New Roman"/>
                <w:sz w:val="18"/>
                <w:szCs w:val="18"/>
              </w:rPr>
            </w:pPr>
            <w:r>
              <w:rPr>
                <w:rFonts w:hint="eastAsia" w:ascii="宋体" w:hAnsi="宋体" w:cs="Times New Roman"/>
                <w:sz w:val="18"/>
                <w:szCs w:val="18"/>
              </w:rPr>
              <w:t>资源提供与管理过程控制；</w:t>
            </w:r>
          </w:p>
          <w:p>
            <w:pPr>
              <w:rPr>
                <w:rFonts w:hint="eastAsia" w:ascii="宋体" w:hAnsi="宋体" w:cs="Times New Roman"/>
                <w:sz w:val="18"/>
                <w:szCs w:val="18"/>
              </w:rPr>
            </w:pPr>
            <w:r>
              <w:rPr>
                <w:rFonts w:hint="eastAsia" w:ascii="宋体" w:hAnsi="宋体" w:cs="Times New Roman"/>
                <w:sz w:val="18"/>
                <w:szCs w:val="18"/>
              </w:rPr>
              <w:t>内外部信息交流过程；</w:t>
            </w:r>
          </w:p>
          <w:p>
            <w:pPr>
              <w:rPr>
                <w:rFonts w:hint="eastAsia" w:ascii="宋体" w:hAnsi="宋体" w:cs="Times New Roman"/>
                <w:sz w:val="18"/>
                <w:szCs w:val="18"/>
              </w:rPr>
            </w:pPr>
            <w:r>
              <w:rPr>
                <w:rFonts w:hint="eastAsia" w:ascii="宋体" w:hAnsi="宋体" w:cs="Times New Roman"/>
                <w:sz w:val="18"/>
                <w:szCs w:val="18"/>
              </w:rPr>
              <w:t>环境、职业健康安全体系运行过程；</w:t>
            </w:r>
          </w:p>
          <w:p>
            <w:pPr>
              <w:rPr>
                <w:rFonts w:hint="eastAsia" w:ascii="宋体" w:hAnsi="宋体" w:cs="Times New Roman"/>
                <w:sz w:val="18"/>
                <w:szCs w:val="18"/>
                <w:lang w:val="en-US" w:eastAsia="zh-CN"/>
              </w:rPr>
            </w:pPr>
            <w:r>
              <w:rPr>
                <w:rFonts w:hint="eastAsia" w:ascii="宋体" w:hAnsi="宋体" w:cs="Times New Roman"/>
                <w:sz w:val="18"/>
                <w:szCs w:val="18"/>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lang w:val="en-US" w:eastAsia="zh-CN"/>
              </w:rPr>
              <w:t>车队</w:t>
            </w:r>
          </w:p>
        </w:tc>
        <w:tc>
          <w:tcPr>
            <w:tcW w:w="6804" w:type="dxa"/>
            <w:vAlign w:val="top"/>
          </w:tcPr>
          <w:p>
            <w:pPr>
              <w:rPr>
                <w:rFonts w:hint="eastAsia"/>
              </w:rPr>
            </w:pPr>
            <w:r>
              <w:rPr>
                <w:rFonts w:hint="eastAsia"/>
              </w:rPr>
              <w:t>负责许可范围内普通货运服务服务实施。</w:t>
            </w:r>
          </w:p>
          <w:p>
            <w:pPr>
              <w:rPr>
                <w:rFonts w:hint="eastAsia"/>
              </w:rPr>
            </w:pPr>
            <w:r>
              <w:rPr>
                <w:rFonts w:hint="eastAsia"/>
              </w:rPr>
              <w:t xml:space="preserve"> 负责本部门环境因素和危险源的识别和评价，提出管理方案并实施；</w:t>
            </w:r>
          </w:p>
          <w:p>
            <w:pPr>
              <w:rPr>
                <w:rFonts w:hint="eastAsia"/>
              </w:rPr>
            </w:pPr>
            <w:r>
              <w:rPr>
                <w:rFonts w:hint="eastAsia"/>
              </w:rPr>
              <w:t>负责本部门应急准备和响应计划落实及应急情况的善后处理，包括本部门应急准备的物资管理。</w:t>
            </w:r>
          </w:p>
          <w:p>
            <w:pPr>
              <w:rPr>
                <w:rFonts w:hint="eastAsia" w:ascii="宋体" w:hAnsi="宋体" w:eastAsia="宋体" w:cs="Times New Roman"/>
                <w:sz w:val="18"/>
                <w:szCs w:val="18"/>
              </w:rPr>
            </w:pPr>
            <w:r>
              <w:rPr>
                <w:rFonts w:hint="eastAsia" w:ascii="宋体" w:hAnsi="宋体" w:eastAsia="宋体" w:cs="Times New Roman"/>
                <w:sz w:val="18"/>
                <w:szCs w:val="18"/>
              </w:rPr>
              <w:t>负责市场开发，组织投标、合同谈判、合同管理及相关台帐管理、归档；负责顾客满意度的测量工作；</w:t>
            </w:r>
          </w:p>
          <w:p>
            <w:pPr>
              <w:rPr>
                <w:rFonts w:hint="eastAsia" w:ascii="宋体" w:hAnsi="宋体" w:eastAsia="宋体" w:cs="Times New Roman"/>
                <w:sz w:val="18"/>
                <w:szCs w:val="18"/>
              </w:rPr>
            </w:pPr>
            <w:r>
              <w:rPr>
                <w:rFonts w:hint="eastAsia" w:ascii="宋体" w:hAnsi="宋体" w:eastAsia="宋体" w:cs="Times New Roman"/>
                <w:sz w:val="18"/>
                <w:szCs w:val="18"/>
              </w:rPr>
              <w:t xml:space="preserve">归口管理与顾客有关的过程，包括确定和评审与产品有关的要求，实施与顾客的有效沟通，按顾客要求协调采购计划。 </w:t>
            </w:r>
          </w:p>
          <w:p>
            <w:pPr>
              <w:rPr>
                <w:rFonts w:hint="eastAsia" w:ascii="宋体" w:hAnsi="宋体" w:eastAsia="宋体" w:cs="Times New Roman"/>
                <w:sz w:val="18"/>
                <w:szCs w:val="18"/>
              </w:rPr>
            </w:pPr>
            <w:r>
              <w:rPr>
                <w:rFonts w:hint="eastAsia" w:ascii="宋体" w:hAnsi="宋体" w:eastAsia="宋体" w:cs="Times New Roman"/>
                <w:sz w:val="18"/>
                <w:szCs w:val="18"/>
              </w:rPr>
              <w:t xml:space="preserve"> 负责采购物资工作。</w:t>
            </w:r>
          </w:p>
          <w:p>
            <w:pPr>
              <w:rPr>
                <w:rFonts w:hint="eastAsia" w:ascii="宋体" w:hAnsi="宋体" w:eastAsia="宋体" w:cs="Times New Roman"/>
                <w:sz w:val="18"/>
                <w:szCs w:val="18"/>
              </w:rPr>
            </w:pPr>
            <w:r>
              <w:rPr>
                <w:rFonts w:hint="eastAsia" w:ascii="宋体" w:hAnsi="宋体" w:eastAsia="宋体" w:cs="Times New Roman"/>
                <w:sz w:val="18"/>
                <w:szCs w:val="18"/>
              </w:rPr>
              <w:t>负责对供方的管理及评价，需要时组织对供方管理体系的审核；</w:t>
            </w:r>
          </w:p>
          <w:p>
            <w:pPr>
              <w:rPr>
                <w:rFonts w:hint="eastAsia" w:ascii="宋体" w:hAnsi="宋体" w:eastAsia="宋体" w:cs="Times New Roman"/>
                <w:sz w:val="18"/>
                <w:szCs w:val="18"/>
              </w:rPr>
            </w:pPr>
            <w:r>
              <w:rPr>
                <w:rFonts w:hint="eastAsia" w:ascii="宋体" w:hAnsi="宋体" w:eastAsia="宋体" w:cs="Times New Roman"/>
                <w:sz w:val="18"/>
                <w:szCs w:val="18"/>
              </w:rPr>
              <w:t>负责本部门环境因素和危险源的识别和评价，提出管理方案并实施；</w:t>
            </w:r>
          </w:p>
          <w:p>
            <w:pPr>
              <w:pStyle w:val="2"/>
              <w:rPr>
                <w:rFonts w:hint="eastAsia"/>
                <w:lang w:val="en-US" w:eastAsia="zh-CN"/>
              </w:rPr>
            </w:pPr>
            <w:r>
              <w:rPr>
                <w:rFonts w:hint="eastAsia" w:ascii="宋体" w:hAnsi="宋体" w:eastAsia="宋体" w:cs="Times New Roman"/>
                <w:sz w:val="18"/>
                <w:szCs w:val="18"/>
              </w:rPr>
              <w:t>负责本部门应急准备和响应计划落实及应急情况的善后处理，包括本部门应急准备的物资管理。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2020年7月24日至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u w:val="single"/>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22</w:t>
      </w:r>
      <w:r>
        <w:rPr>
          <w:rFonts w:hint="eastAsia"/>
          <w:b/>
          <w:color w:val="000000" w:themeColor="text1"/>
          <w:spacing w:val="-10"/>
          <w:szCs w:val="21"/>
          <w:u w:val="single"/>
        </w:rPr>
        <w:t>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ascii="Times New Roman" w:hAnsi="Times New Roman" w:eastAsia="宋体" w:cs="Times New Roman"/>
                <w:bCs/>
                <w:spacing w:val="10"/>
                <w:kern w:val="2"/>
                <w:sz w:val="21"/>
                <w:szCs w:val="22"/>
                <w:lang w:val="en-US" w:eastAsia="zh-CN" w:bidi="ar-SA"/>
              </w:rPr>
            </w:pPr>
            <w:r>
              <w:rPr>
                <w:rFonts w:hint="eastAsia" w:ascii="宋体" w:hAnsi="宋体"/>
                <w:color w:val="000000"/>
                <w:szCs w:val="21"/>
              </w:rPr>
              <w:t>营业执照：</w:t>
            </w:r>
            <w:r>
              <w:rPr>
                <w:color w:val="000000"/>
                <w:szCs w:val="21"/>
              </w:rPr>
              <w:t>云锦时代（北京）供应链管理有限公司</w:t>
            </w:r>
            <w:r>
              <w:rPr>
                <w:rFonts w:hint="eastAsia" w:ascii="宋体" w:hAnsi="宋体"/>
                <w:color w:val="000000"/>
                <w:szCs w:val="21"/>
              </w:rPr>
              <w:t>，</w:t>
            </w:r>
            <w:r>
              <w:rPr>
                <w:rFonts w:hint="eastAsia" w:ascii="Times New Roman" w:hAnsi="Times New Roman" w:eastAsia="宋体" w:cs="Times New Roman"/>
                <w:bCs/>
                <w:spacing w:val="10"/>
                <w:kern w:val="2"/>
                <w:sz w:val="21"/>
                <w:szCs w:val="22"/>
                <w:lang w:val="en-US" w:eastAsia="zh-CN" w:bidi="ar-SA"/>
              </w:rPr>
              <w:t xml:space="preserve"> 成立于：</w:t>
            </w:r>
            <w:r>
              <w:rPr>
                <w:color w:val="000000"/>
                <w:szCs w:val="21"/>
              </w:rPr>
              <w:t>2020-07-22</w:t>
            </w:r>
            <w:r>
              <w:rPr>
                <w:rFonts w:hint="eastAsia"/>
                <w:color w:val="000000"/>
                <w:szCs w:val="21"/>
                <w:lang w:val="en-US" w:eastAsia="zh-CN"/>
              </w:rPr>
              <w:t>-长期，注</w:t>
            </w:r>
            <w:r>
              <w:rPr>
                <w:rFonts w:hint="eastAsia" w:ascii="Times New Roman" w:hAnsi="Times New Roman" w:eastAsia="宋体" w:cs="Times New Roman"/>
                <w:bCs/>
                <w:spacing w:val="10"/>
                <w:kern w:val="2"/>
                <w:sz w:val="21"/>
                <w:szCs w:val="22"/>
                <w:lang w:val="en-US" w:eastAsia="zh-CN" w:bidi="ar-SA"/>
              </w:rPr>
              <w:t>册资金：</w:t>
            </w:r>
            <w:r>
              <w:rPr>
                <w:rFonts w:hint="eastAsia" w:cs="Times New Roman"/>
                <w:bCs/>
                <w:spacing w:val="10"/>
                <w:kern w:val="2"/>
                <w:sz w:val="21"/>
                <w:szCs w:val="22"/>
                <w:lang w:val="en-US" w:eastAsia="zh-CN" w:bidi="ar-SA"/>
              </w:rPr>
              <w:t>800</w:t>
            </w:r>
            <w:r>
              <w:rPr>
                <w:rFonts w:hint="eastAsia" w:ascii="Times New Roman" w:hAnsi="Times New Roman" w:eastAsia="宋体" w:cs="Times New Roman"/>
                <w:bCs/>
                <w:spacing w:val="10"/>
                <w:kern w:val="2"/>
                <w:sz w:val="21"/>
                <w:szCs w:val="22"/>
                <w:lang w:val="en-US" w:eastAsia="zh-CN" w:bidi="ar-SA"/>
              </w:rPr>
              <w:t xml:space="preserve">万(元) </w:t>
            </w:r>
          </w:p>
          <w:p>
            <w:pPr>
              <w:rPr>
                <w:rFonts w:hint="eastAsia"/>
                <w:lang w:eastAsia="zh-CN"/>
              </w:rPr>
            </w:pPr>
            <w:r>
              <w:rPr>
                <w:rFonts w:hint="eastAsia" w:hAnsi="宋体"/>
                <w:color w:val="000000"/>
              </w:rPr>
              <w:t>注册地址：</w:t>
            </w:r>
            <w:bookmarkStart w:id="4" w:name="注册地址"/>
            <w:r>
              <w:t>北京市平谷区平谷镇平翔东园53排3号</w:t>
            </w:r>
            <w:bookmarkEnd w:id="4"/>
            <w:r>
              <w:rPr>
                <w:rFonts w:hint="eastAsia"/>
                <w:lang w:eastAsia="zh-CN"/>
              </w:rPr>
              <w:t>，</w:t>
            </w:r>
          </w:p>
          <w:p>
            <w:pPr>
              <w:rPr>
                <w:rFonts w:hint="default" w:eastAsia="宋体"/>
                <w:lang w:val="en-US" w:eastAsia="zh-CN"/>
              </w:rPr>
            </w:pPr>
            <w:r>
              <w:rPr>
                <w:rFonts w:hint="eastAsia"/>
                <w:lang w:val="en-US" w:eastAsia="zh-CN"/>
              </w:rPr>
              <w:t>经营地址：</w:t>
            </w:r>
            <w:bookmarkStart w:id="5" w:name="生产地址"/>
            <w:r>
              <w:t>北京市昌平区马池口镇西坨村物流院</w:t>
            </w:r>
            <w:bookmarkEnd w:id="5"/>
          </w:p>
          <w:p>
            <w:pPr>
              <w:pStyle w:val="2"/>
              <w:rPr>
                <w:rFonts w:hint="eastAsia"/>
              </w:rPr>
            </w:pPr>
            <w:r>
              <w:rPr>
                <w:rFonts w:hint="eastAsia" w:ascii="宋体" w:hAnsi="宋体"/>
                <w:bCs w:val="0"/>
                <w:color w:val="000000"/>
                <w:spacing w:val="0"/>
                <w:szCs w:val="21"/>
              </w:rPr>
              <w:t>经营范围：</w:t>
            </w:r>
            <w:r>
              <w:rPr>
                <w:rFonts w:ascii="Times New Roman" w:hAnsi="Times New Roman" w:eastAsia="宋体" w:cs="Times New Roman"/>
                <w:bCs w:val="0"/>
                <w:spacing w:val="0"/>
                <w:kern w:val="2"/>
                <w:sz w:val="21"/>
                <w:szCs w:val="24"/>
                <w:lang w:val="en-US" w:eastAsia="zh-CN" w:bidi="ar-SA"/>
              </w:rPr>
              <w:t>经营范围包括供应链管理；仓储服务；海上国际货物运输代理业务；航空国际货物运输代理业务；陆路国际货物运输代理业务；货物进出口、技术进出口、代理进出口；汽车租赁（不含九座以上客车）；销售金属材料、化工产品、钢材、建筑材料、焦炭、机械设备、五金交电（不含电动自行车）、电子产品、医疗器械I类、计算机软硬件及外围设备、厨卫用具、通讯设备、文化用品、体育用品、服装鞋帽、针纺织品、工艺品、日用品；设计、制作、代理、发布广告；承办展览展示活动；会议服务；包装服务；技术开发、技术咨询、技术交流、技术转让、技术推广、技术服务；软件服务；道路货运代理；装卸搬运和仓储业；经济贸易咨询；机械设备租赁；企业形象策划；市场调查；建筑物清洁服务；施工总承包、专业承包、劳务分包；普通货运。（市场主体依法自主选择经营项目，开展经营活动；普通货运以及依法须经批准的项目，经相关部门批准后依批准的内容开展经营活动；不得从事国家和本市产业政策禁止和限制类项目的经营活动。）</w:t>
            </w:r>
            <w:r>
              <w:rPr>
                <w:rFonts w:hint="eastAsia" w:ascii="Times New Roman" w:hAnsi="Times New Roman" w:eastAsia="宋体" w:cs="Times New Roman"/>
                <w:bCs w:val="0"/>
                <w:spacing w:val="0"/>
                <w:kern w:val="2"/>
                <w:sz w:val="21"/>
                <w:szCs w:val="24"/>
                <w:lang w:val="en-US" w:eastAsia="zh-CN" w:bidi="ar-SA"/>
              </w:rPr>
              <w:t>，公</w:t>
            </w:r>
            <w:r>
              <w:rPr>
                <w:rFonts w:hint="eastAsia"/>
              </w:rPr>
              <w:t>司的主要客户群为全国各地的企业</w:t>
            </w:r>
            <w:r>
              <w:rPr>
                <w:rFonts w:hint="eastAsia"/>
                <w:lang w:eastAsia="zh-CN"/>
              </w:rPr>
              <w:t>、</w:t>
            </w:r>
            <w:r>
              <w:rPr>
                <w:rFonts w:hint="eastAsia"/>
                <w:lang w:val="en-US" w:eastAsia="zh-CN"/>
              </w:rPr>
              <w:t>机关、个人，</w:t>
            </w:r>
            <w:r>
              <w:rPr>
                <w:rFonts w:hint="eastAsia"/>
              </w:rPr>
              <w:t>公司采用总经理负责制，层层把关，让用户真正放心。</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提供有企业营业执照：见附件</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提供相关资质：</w:t>
            </w:r>
          </w:p>
          <w:p>
            <w:pPr>
              <w:rPr>
                <w:rFonts w:hint="eastAsia"/>
              </w:rPr>
            </w:pPr>
            <w:r>
              <w:rPr>
                <w:rFonts w:hint="eastAsia"/>
              </w:rPr>
              <w:t>道路运输经营许可证  京交运管许可 货字110117010675 号 有效期：2020.8.20</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w:t>
            </w:r>
            <w:r>
              <w:rPr>
                <w:rFonts w:hint="eastAsia"/>
                <w:lang w:val="en-US" w:eastAsia="zh-CN"/>
              </w:rPr>
              <w:t>服务</w:t>
            </w:r>
            <w:r>
              <w:rPr>
                <w:rFonts w:hint="eastAsia"/>
              </w:rPr>
              <w:t>过程中充分考虑相关方方面的期望或要求，识别的相关方有：顾客、最终用户或受益人、业主，股东、员工等。销售部门和相关职能部门通过日常例会、市场活动、</w:t>
            </w:r>
            <w:r>
              <w:rPr>
                <w:rFonts w:hint="eastAsia"/>
                <w:lang w:eastAsia="zh-CN"/>
              </w:rPr>
              <w:t>远程</w:t>
            </w:r>
            <w:r>
              <w:rPr>
                <w:rFonts w:hint="eastAsia"/>
              </w:rPr>
              <w:t>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科学规范、及时公正、达到顾客满意； </w:t>
            </w:r>
          </w:p>
          <w:p>
            <w:pPr>
              <w:rPr>
                <w:rFonts w:hint="eastAsia"/>
              </w:rPr>
            </w:pPr>
            <w:r>
              <w:rPr>
                <w:rFonts w:hint="eastAsia"/>
              </w:rPr>
              <w:t>节能降耗、污染预防、净化生存环境； </w:t>
            </w:r>
          </w:p>
          <w:p>
            <w:pPr>
              <w:rPr>
                <w:rFonts w:hint="eastAsia"/>
              </w:rPr>
            </w:pPr>
            <w:r>
              <w:rPr>
                <w:rFonts w:hint="eastAsia"/>
              </w:rPr>
              <w:t>以人为本、确保安全、降低职业风险； </w:t>
            </w:r>
          </w:p>
          <w:p>
            <w:pPr>
              <w:rPr>
                <w:rFonts w:hint="eastAsia"/>
              </w:rPr>
            </w:pPr>
            <w:r>
              <w:rPr>
                <w:rFonts w:hint="eastAsia"/>
              </w:rPr>
              <w:t>持证上岗、依法检测、持续改进管理。</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rFonts w:hint="eastAsia"/>
              </w:rPr>
            </w:pPr>
            <w:r>
              <w:rPr>
                <w:rFonts w:hint="eastAsia"/>
              </w:rPr>
              <w:t>普通货运</w:t>
            </w:r>
          </w:p>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合同订立→车辆调度→货物受理→装载货物→途中运输→卸载→交付完成</w:t>
            </w:r>
          </w:p>
          <w:p>
            <w:pPr>
              <w:tabs>
                <w:tab w:val="left" w:pos="6390"/>
              </w:tabs>
              <w:spacing w:line="360" w:lineRule="auto"/>
              <w:rPr>
                <w:rFonts w:hint="eastAsia" w:ascii="华文中宋" w:hAnsi="华文中宋" w:eastAsia="宋体" w:cs="宋体"/>
                <w:b/>
                <w:color w:val="000000"/>
                <w:sz w:val="21"/>
                <w:szCs w:val="21"/>
                <w:lang w:val="en-US" w:eastAsia="zh-CN"/>
              </w:rPr>
            </w:pPr>
            <w:r>
              <w:rPr>
                <w:rFonts w:hint="eastAsia" w:ascii="华文中宋" w:hAnsi="华文中宋" w:eastAsia="华文中宋" w:cs="宋体"/>
                <w:b/>
                <w:color w:val="000000"/>
                <w:sz w:val="21"/>
                <w:szCs w:val="21"/>
                <w:lang w:val="en-US" w:eastAsia="zh-CN"/>
              </w:rPr>
              <w:t>特殊过程：</w:t>
            </w:r>
            <w:r>
              <w:rPr>
                <w:rFonts w:hint="eastAsia"/>
                <w:b/>
                <w:sz w:val="20"/>
                <w:szCs w:val="22"/>
                <w:lang w:eastAsia="zh-CN"/>
              </w:rPr>
              <w:t>运输</w:t>
            </w:r>
            <w:r>
              <w:rPr>
                <w:rFonts w:hint="eastAsia"/>
                <w:b/>
                <w:sz w:val="20"/>
                <w:szCs w:val="22"/>
              </w:rPr>
              <w:t>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b/>
                <w:sz w:val="20"/>
                <w:szCs w:val="22"/>
                <w:lang w:eastAsia="zh-CN"/>
              </w:rPr>
              <w:t>运输</w:t>
            </w:r>
            <w:r>
              <w:rPr>
                <w:rFonts w:hint="eastAsia"/>
                <w:b/>
                <w:sz w:val="20"/>
                <w:szCs w:val="22"/>
              </w:rPr>
              <w:t>服务过程</w:t>
            </w:r>
          </w:p>
          <w:p>
            <w:pPr>
              <w:rPr>
                <w:rFonts w:hint="eastAsia" w:eastAsia="宋体"/>
                <w:szCs w:val="21"/>
                <w:lang w:eastAsia="zh-CN"/>
              </w:rPr>
            </w:pP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Theme="minorEastAsia" w:hAnsiTheme="minorEastAsia" w:cstheme="minorEastAsia"/>
                <w:color w:val="000000" w:themeColor="text1"/>
                <w:kern w:val="2"/>
                <w:sz w:val="21"/>
                <w:szCs w:val="21"/>
                <w:lang w:val="en-US" w:eastAsia="zh-CN"/>
              </w:rPr>
              <w:t>理由：</w:t>
            </w:r>
            <w:r>
              <w:rPr>
                <w:rFonts w:hint="eastAsia"/>
                <w:color w:val="000000" w:themeColor="text1"/>
                <w:szCs w:val="21"/>
                <w:lang w:val="en-US" w:eastAsia="zh-CN"/>
              </w:rPr>
              <w:t>因</w:t>
            </w:r>
            <w:r>
              <w:rPr>
                <w:rFonts w:hint="eastAsia" w:ascii="宋体" w:hAnsi="宋体"/>
                <w:szCs w:val="21"/>
              </w:rPr>
              <w:t>许可范围内普通货运服务</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r>
              <w:rPr>
                <w:rFonts w:ascii="宋体" w:hAnsi="宋体"/>
                <w:b/>
                <w:color w:val="auto"/>
                <w:spacing w:val="-12"/>
                <w:sz w:val="20"/>
                <w:szCs w:val="20"/>
              </w:rPr>
              <w:t xml:space="preserve"> </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许可范围内普通货运服务</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3</w:t>
            </w:r>
            <w:r>
              <w:rPr>
                <w:rFonts w:hint="eastAsia"/>
                <w:color w:val="auto"/>
                <w:szCs w:val="21"/>
              </w:rPr>
              <w:t>项：</w:t>
            </w:r>
            <w:r>
              <w:rPr>
                <w:rStyle w:val="16"/>
                <w:rFonts w:hint="eastAsia" w:ascii="Arial" w:hAnsi="Arial" w:cs="Arial"/>
                <w:color w:val="auto"/>
                <w:shd w:val="clear" w:color="auto" w:fill="FFFFFF"/>
                <w:lang w:val="en-US" w:eastAsia="zh-CN"/>
              </w:rPr>
              <w:t>废气、噪声、</w:t>
            </w:r>
            <w:r>
              <w:rPr>
                <w:rStyle w:val="16"/>
                <w:rFonts w:hint="eastAsia" w:ascii="Arial" w:hAnsi="Arial" w:cs="Arial"/>
                <w:color w:val="auto"/>
                <w:shd w:val="clear" w:color="auto" w:fill="FFFFFF"/>
              </w:rPr>
              <w:t>固体废弃物</w:t>
            </w:r>
            <w:r>
              <w:rPr>
                <w:rFonts w:hint="eastAsia"/>
                <w:color w:val="auto"/>
                <w:szCs w:val="21"/>
              </w:rPr>
              <w:t>，评价符合程序要求及公司的实际情况。</w:t>
            </w:r>
          </w:p>
          <w:p>
            <w:pPr>
              <w:spacing w:line="300" w:lineRule="exact"/>
              <w:rPr>
                <w:b/>
                <w:color w:val="auto"/>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auto"/>
              </w:rPr>
            </w:pPr>
            <w:r>
              <w:rPr>
                <w:rFonts w:hint="eastAsia"/>
                <w:color w:val="auto"/>
              </w:rPr>
              <w:t xml:space="preserve">7. </w:t>
            </w:r>
            <w:r>
              <w:rPr>
                <w:color w:val="auto"/>
              </w:rPr>
              <w:t>OHSMS</w:t>
            </w:r>
            <w:r>
              <w:rPr>
                <w:rFonts w:hint="eastAsia"/>
                <w:color w:val="auto"/>
              </w:rPr>
              <w:t>职业健康安全危险源</w:t>
            </w:r>
          </w:p>
          <w:p>
            <w:pPr>
              <w:spacing w:line="300" w:lineRule="exact"/>
              <w:rPr>
                <w:color w:val="auto"/>
              </w:rPr>
            </w:pPr>
            <w:r>
              <w:rPr>
                <w:rFonts w:hint="eastAsia"/>
                <w:color w:val="auto"/>
              </w:rPr>
              <w:t>（职业健康安全危险源辨识是否充分、风险评价合理性，以及风险评价动态变更的及时性等）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4</w:t>
            </w:r>
            <w:r>
              <w:rPr>
                <w:rFonts w:hint="eastAsia"/>
                <w:color w:val="auto"/>
                <w:szCs w:val="21"/>
              </w:rPr>
              <w:t>项，涉及：</w:t>
            </w:r>
            <w:r>
              <w:rPr>
                <w:rStyle w:val="16"/>
                <w:rFonts w:hint="eastAsia" w:ascii="Arial" w:hAnsi="Arial" w:cs="Arial"/>
                <w:color w:val="auto"/>
                <w:shd w:val="clear" w:color="auto" w:fill="FFFFFF"/>
              </w:rPr>
              <w:t>潜在火灾</w:t>
            </w:r>
            <w:r>
              <w:rPr>
                <w:rStyle w:val="16"/>
                <w:rFonts w:hint="eastAsia" w:ascii="Arial" w:hAnsi="Arial" w:cs="Arial"/>
                <w:color w:val="auto"/>
                <w:shd w:val="clear" w:color="auto" w:fill="FFFFFF"/>
                <w:lang w:eastAsia="zh-CN"/>
              </w:rPr>
              <w:t>、</w:t>
            </w:r>
            <w:r>
              <w:rPr>
                <w:rStyle w:val="16"/>
                <w:rFonts w:hint="eastAsia" w:ascii="Arial" w:hAnsi="Arial" w:cs="Arial"/>
                <w:bCs w:val="0"/>
                <w:color w:val="auto"/>
                <w:spacing w:val="0"/>
                <w:shd w:val="clear" w:color="auto" w:fill="FFFFFF"/>
                <w:lang w:val="en-US" w:eastAsia="zh-CN"/>
              </w:rPr>
              <w:t>触电、</w:t>
            </w:r>
            <w:r>
              <w:rPr>
                <w:rStyle w:val="16"/>
                <w:rFonts w:hint="eastAsia" w:ascii="Arial" w:hAnsi="Arial" w:cs="Arial"/>
                <w:bCs w:val="0"/>
                <w:color w:val="auto"/>
                <w:spacing w:val="0"/>
                <w:shd w:val="clear" w:color="auto" w:fill="FFFFFF"/>
              </w:rPr>
              <w:t>意外伤害</w:t>
            </w:r>
            <w:r>
              <w:rPr>
                <w:rStyle w:val="16"/>
                <w:rFonts w:hint="eastAsia" w:ascii="Arial" w:hAnsi="Arial" w:cs="Arial"/>
                <w:bCs w:val="0"/>
                <w:color w:val="auto"/>
                <w:spacing w:val="0"/>
                <w:shd w:val="clear" w:color="auto" w:fill="FFFFFF"/>
                <w:lang w:eastAsia="zh-CN"/>
              </w:rPr>
              <w:t>、</w:t>
            </w:r>
            <w:r>
              <w:rPr>
                <w:rStyle w:val="16"/>
                <w:rFonts w:hint="eastAsia" w:ascii="Arial" w:hAnsi="Arial" w:cs="Arial"/>
                <w:bCs w:val="0"/>
                <w:color w:val="auto"/>
                <w:spacing w:val="0"/>
                <w:shd w:val="clear" w:color="auto" w:fill="FFFFFF"/>
                <w:lang w:val="en-US" w:eastAsia="zh-CN"/>
              </w:rPr>
              <w:t>机械伤害、职业病</w:t>
            </w:r>
            <w:r>
              <w:rPr>
                <w:rFonts w:hint="eastAsia"/>
                <w:color w:val="auto"/>
                <w:szCs w:val="21"/>
              </w:rPr>
              <w:t>，评价符合程序要求及公司的实际情况。对危险源的控制措施包括制定管理制度、监督检查、应急预案、培训等。</w:t>
            </w:r>
          </w:p>
          <w:p>
            <w:pPr>
              <w:pStyle w:val="2"/>
              <w:rPr>
                <w:color w:val="auto"/>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8</w:t>
            </w:r>
            <w:r>
              <w:rPr>
                <w:rFonts w:hint="eastAsia"/>
                <w:bCs/>
                <w:szCs w:val="21"/>
              </w:rPr>
              <w:t>人，管理人</w:t>
            </w:r>
            <w:r>
              <w:rPr>
                <w:rFonts w:hint="eastAsia"/>
                <w:bCs/>
                <w:szCs w:val="21"/>
                <w:lang w:val="en-US" w:eastAsia="zh-CN"/>
              </w:rPr>
              <w:t>4</w:t>
            </w:r>
            <w:r>
              <w:rPr>
                <w:rFonts w:hint="eastAsia"/>
                <w:bCs/>
                <w:szCs w:val="21"/>
              </w:rPr>
              <w:t>人。有专业的</w:t>
            </w:r>
            <w:r>
              <w:rPr>
                <w:rFonts w:hint="eastAsia"/>
                <w:bCs/>
                <w:szCs w:val="21"/>
                <w:lang w:val="en-US" w:eastAsia="zh-CN"/>
              </w:rPr>
              <w:t>技术咨询服务</w:t>
            </w:r>
            <w:r>
              <w:rPr>
                <w:rFonts w:hint="eastAsia"/>
                <w:bCs/>
                <w:szCs w:val="21"/>
              </w:rPr>
              <w:t>人员，能满足</w:t>
            </w:r>
            <w:r>
              <w:rPr>
                <w:rFonts w:hint="eastAsia" w:ascii="宋体" w:hAnsi="宋体"/>
                <w:szCs w:val="21"/>
              </w:rPr>
              <w:t>资质许可范围内的普通货运，城市生活垃圾清扫、收集、运输，二类汽车维修（大中型客车维修、小型车维修、大型货车维修）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hint="eastAsia" w:eastAsia="宋体"/>
                <w:lang w:val="en-US" w:eastAsia="zh-CN"/>
              </w:rPr>
            </w:pPr>
            <w:r>
              <w:rPr>
                <w:rFonts w:hint="eastAsia" w:ascii="宋体" w:hAnsi="宋体"/>
                <w:b/>
                <w:color w:val="000000" w:themeColor="text1"/>
                <w:sz w:val="20"/>
                <w:szCs w:val="20"/>
                <w:lang w:val="en-US" w:eastAsia="zh-CN"/>
              </w:rPr>
              <w:t>运营设备有：货车</w:t>
            </w:r>
            <w:r>
              <w:rPr>
                <w:rFonts w:hint="eastAsia"/>
                <w:color w:val="000000" w:themeColor="text1"/>
                <w:lang w:val="en-US" w:eastAsia="zh-CN"/>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6" w:name="_Hlk22559941"/>
            <w:r>
              <w:rPr>
                <w:rFonts w:hint="eastAsia" w:cs="Lucida Sans"/>
                <w:b/>
                <w:szCs w:val="20"/>
              </w:rPr>
              <w:t>环保设施包括：垃圾桶；</w:t>
            </w:r>
          </w:p>
          <w:p>
            <w:pPr>
              <w:widowControl/>
              <w:spacing w:line="460" w:lineRule="exact"/>
              <w:jc w:val="left"/>
              <w:rPr>
                <w:szCs w:val="21"/>
              </w:rPr>
            </w:pPr>
            <w:r>
              <w:rPr>
                <w:rFonts w:hint="eastAsia" w:cs="Lucida Sans"/>
                <w:b/>
                <w:szCs w:val="20"/>
              </w:rPr>
              <w:t>安全设施配置主要有：标识牌、灭火器、消防器材等，</w:t>
            </w:r>
          </w:p>
          <w:bookmarkEnd w:id="6"/>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eastAsia="zh-CN"/>
              </w:rPr>
              <w:t>远程</w:t>
            </w:r>
            <w:r>
              <w:rPr>
                <w:rFonts w:hint="eastAsia"/>
              </w:rPr>
              <w:t>观察生产区和办公区域环境卫生管理，工作场所布局合理，温湿度适宜，照明良好，满足办公需求。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pStyle w:val="2"/>
              <w:rPr>
                <w:rFonts w:hint="eastAsia" w:eastAsia="宋体"/>
                <w:lang w:val="en-US" w:eastAsia="zh-CN"/>
              </w:rPr>
            </w:pPr>
            <w:r>
              <w:rPr>
                <w:rFonts w:hint="eastAsia" w:cs="Lucida Sans"/>
                <w:b/>
                <w:szCs w:val="20"/>
              </w:rPr>
              <w:t>监视和测量设备有：</w:t>
            </w:r>
            <w:r>
              <w:rPr>
                <w:rFonts w:hint="eastAsia" w:cs="Lucida Sans"/>
                <w:b/>
                <w:szCs w:val="20"/>
                <w:lang w:val="en-US" w:eastAsia="zh-CN"/>
              </w:rPr>
              <w:t>无</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w:t>
            </w:r>
            <w:r>
              <w:rPr>
                <w:rFonts w:hint="eastAsia"/>
                <w:bCs/>
                <w:szCs w:val="21"/>
                <w:lang w:eastAsia="zh-CN"/>
              </w:rPr>
              <w:t>远程</w:t>
            </w:r>
            <w:r>
              <w:rPr>
                <w:rFonts w:hint="eastAsia"/>
                <w:bCs/>
                <w:szCs w:val="21"/>
              </w:rPr>
              <w:t>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r>
              <w:rPr>
                <w:rFonts w:hint="eastAsia"/>
              </w:rPr>
              <w:t>提供《服务过程确认记录表》，确认内容包括：服务方法和程序、设备工具的认可、人员资格的鉴定、记录要求等。评审结论：根据公司实际情况</w:t>
            </w:r>
            <w:r>
              <w:rPr>
                <w:rFonts w:hint="eastAsia" w:ascii="宋体" w:hAnsi="宋体"/>
                <w:szCs w:val="21"/>
                <w:lang w:val="en-US" w:eastAsia="zh-CN"/>
              </w:rPr>
              <w:t>运输服务过程</w:t>
            </w:r>
            <w:r>
              <w:rPr>
                <w:rFonts w:hint="eastAsia"/>
                <w:bCs/>
                <w:szCs w:val="21"/>
              </w:rPr>
              <w:t>为特殊过程</w:t>
            </w:r>
            <w:r>
              <w:rPr>
                <w:rFonts w:hint="eastAsia"/>
              </w:rPr>
              <w:t xml:space="preserve">，实现过程按照公司质量控制管理制度进行，过程所用基础设施均处在完好状态，从业人员经过培训，胜任本职工作，可以提供满足顾客要求、法律法规要求的服务。 </w:t>
            </w:r>
          </w:p>
          <w:p>
            <w:pPr>
              <w:tabs>
                <w:tab w:val="left" w:pos="6390"/>
              </w:tabs>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rPr>
                <w:bCs/>
                <w:szCs w:val="21"/>
              </w:rPr>
            </w:pPr>
            <w:r>
              <w:rPr>
                <w:rFonts w:hint="eastAsia"/>
                <w:bCs/>
                <w:szCs w:val="21"/>
              </w:rPr>
              <w:t>按照顾客和合同要求进行服务，能够稳定的向顾客提供合格的</w:t>
            </w:r>
            <w:r>
              <w:rPr>
                <w:rFonts w:hint="eastAsia" w:ascii="宋体" w:hAnsi="宋体"/>
                <w:szCs w:val="21"/>
              </w:rPr>
              <w:t>许可范围内普通货运服务活动</w:t>
            </w:r>
            <w:r>
              <w:rPr>
                <w:rFonts w:hint="eastAsia"/>
                <w:bCs/>
                <w:szCs w:val="21"/>
              </w:rPr>
              <w:t>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hint="eastAsia"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无</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pStyle w:val="5"/>
              <w:pBdr>
                <w:bottom w:val="none" w:color="auto" w:sz="0" w:space="0"/>
              </w:pBdr>
              <w:tabs>
                <w:tab w:val="center" w:pos="5737"/>
                <w:tab w:val="clear" w:pos="4153"/>
              </w:tabs>
              <w:jc w:val="left"/>
              <w:rPr>
                <w:b/>
                <w:color w:val="auto"/>
                <w:sz w:val="20"/>
                <w:szCs w:val="20"/>
              </w:rPr>
            </w:pPr>
            <w:r>
              <w:rPr>
                <w:rFonts w:hint="eastAsia"/>
                <w:bCs/>
                <w:color w:val="auto"/>
                <w:szCs w:val="21"/>
              </w:rPr>
              <w:t>对重要环境因素（</w:t>
            </w:r>
            <w:r>
              <w:rPr>
                <w:rStyle w:val="16"/>
                <w:rFonts w:hint="eastAsia" w:ascii="Arial" w:hAnsi="Arial" w:cs="Arial"/>
                <w:color w:val="auto"/>
                <w:shd w:val="clear" w:color="auto" w:fill="FFFFFF"/>
                <w:lang w:val="en-US" w:eastAsia="zh-CN"/>
              </w:rPr>
              <w:t>废气、噪声、固</w:t>
            </w:r>
            <w:r>
              <w:rPr>
                <w:rStyle w:val="16"/>
                <w:rFonts w:hint="eastAsia" w:ascii="Arial" w:hAnsi="Arial" w:cs="Arial"/>
                <w:color w:val="auto"/>
                <w:shd w:val="clear" w:color="auto" w:fill="FFFFFF"/>
              </w:rPr>
              <w:t>体废弃物</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rPr>
                <w:b/>
                <w:color w:val="auto"/>
                <w:sz w:val="20"/>
                <w:szCs w:val="20"/>
              </w:rPr>
            </w:pPr>
            <w:r>
              <w:rPr>
                <w:rFonts w:hint="eastAsia"/>
                <w:bCs/>
                <w:color w:val="auto"/>
                <w:szCs w:val="21"/>
              </w:rPr>
              <w:t>对不可接受风险（</w:t>
            </w:r>
            <w:r>
              <w:rPr>
                <w:rStyle w:val="16"/>
                <w:rFonts w:hint="eastAsia" w:ascii="Arial" w:hAnsi="Arial" w:cs="Arial"/>
                <w:color w:val="auto"/>
                <w:shd w:val="clear" w:color="auto" w:fill="FFFFFF"/>
              </w:rPr>
              <w:t>潜在火灾</w:t>
            </w:r>
            <w:r>
              <w:rPr>
                <w:rStyle w:val="16"/>
                <w:rFonts w:hint="eastAsia" w:ascii="Arial" w:hAnsi="Arial" w:cs="Arial"/>
                <w:color w:val="auto"/>
                <w:shd w:val="clear" w:color="auto" w:fill="FFFFFF"/>
                <w:lang w:eastAsia="zh-CN"/>
              </w:rPr>
              <w:t>、</w:t>
            </w:r>
            <w:r>
              <w:rPr>
                <w:rStyle w:val="16"/>
                <w:rFonts w:hint="eastAsia" w:ascii="Arial" w:hAnsi="Arial" w:cs="Arial"/>
                <w:bCs w:val="0"/>
                <w:color w:val="auto"/>
                <w:spacing w:val="0"/>
                <w:shd w:val="clear" w:color="auto" w:fill="FFFFFF"/>
                <w:lang w:val="en-US" w:eastAsia="zh-CN"/>
              </w:rPr>
              <w:t>触电、</w:t>
            </w:r>
            <w:r>
              <w:rPr>
                <w:rStyle w:val="16"/>
                <w:rFonts w:hint="eastAsia" w:ascii="Arial" w:hAnsi="Arial" w:cs="Arial"/>
                <w:bCs w:val="0"/>
                <w:color w:val="auto"/>
                <w:spacing w:val="0"/>
                <w:shd w:val="clear" w:color="auto" w:fill="FFFFFF"/>
              </w:rPr>
              <w:t>意外伤害</w:t>
            </w:r>
            <w:r>
              <w:rPr>
                <w:rStyle w:val="16"/>
                <w:rFonts w:hint="eastAsia" w:ascii="Arial" w:hAnsi="Arial" w:cs="Arial"/>
                <w:bCs w:val="0"/>
                <w:color w:val="auto"/>
                <w:spacing w:val="0"/>
                <w:shd w:val="clear" w:color="auto" w:fill="FFFFFF"/>
                <w:lang w:eastAsia="zh-CN"/>
              </w:rPr>
              <w:t>、</w:t>
            </w:r>
            <w:r>
              <w:rPr>
                <w:rStyle w:val="16"/>
                <w:rFonts w:hint="eastAsia" w:ascii="Arial" w:hAnsi="Arial" w:cs="Arial"/>
                <w:bCs w:val="0"/>
                <w:color w:val="auto"/>
                <w:spacing w:val="0"/>
                <w:shd w:val="clear" w:color="auto" w:fill="FFFFFF"/>
                <w:lang w:val="en-US" w:eastAsia="zh-CN"/>
              </w:rPr>
              <w:t>车辆伤害</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Cs/>
                <w:szCs w:val="21"/>
              </w:rPr>
              <w:t>一阶段</w:t>
            </w:r>
            <w:r>
              <w:rPr>
                <w:rFonts w:hint="eastAsia"/>
                <w:bCs/>
                <w:szCs w:val="21"/>
                <w:lang w:val="en-US" w:eastAsia="zh-CN"/>
              </w:rPr>
              <w:t>审核无问题</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sym w:font="Wingdings" w:char="00A8"/>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000000"/>
                <w:szCs w:val="21"/>
              </w:rPr>
              <w:t xml:space="preserve">云锦时代（北京）供应链管理有限公司 </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rPr>
            </w:pPr>
          </w:p>
          <w:p>
            <w:pPr>
              <w:pStyle w:val="2"/>
              <w:rPr>
                <w:rFonts w:hint="eastAsia"/>
              </w:rPr>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本次审核基本达到审核要求，</w:t>
            </w:r>
            <w:r>
              <w:rPr>
                <w:rFonts w:hint="eastAsia"/>
              </w:rPr>
              <w:t>同意推荐认证注册。</w:t>
            </w:r>
          </w:p>
          <w:p>
            <w:pPr>
              <w:pStyle w:val="2"/>
            </w:pP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Q：许可范围内普通货运服务</w:t>
            </w:r>
          </w:p>
          <w:p>
            <w:pPr>
              <w:rPr>
                <w:rFonts w:hint="eastAsia" w:ascii="宋体" w:hAnsi="宋体"/>
                <w:szCs w:val="21"/>
              </w:rPr>
            </w:pPr>
            <w:r>
              <w:rPr>
                <w:rFonts w:hint="eastAsia" w:ascii="宋体" w:hAnsi="宋体"/>
                <w:szCs w:val="21"/>
              </w:rPr>
              <w:t>E：许可范围内普通货运服务所涉及的相关环境管理活动</w:t>
            </w:r>
          </w:p>
          <w:p>
            <w:pPr>
              <w:pStyle w:val="2"/>
            </w:pPr>
            <w:r>
              <w:rPr>
                <w:rFonts w:hint="eastAsia" w:ascii="宋体" w:hAnsi="宋体"/>
                <w:szCs w:val="21"/>
              </w:rPr>
              <w:t xml:space="preserve">O：许可范围内普通货运服务所涉及的相关职业健康安全管理活动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pStyle w:val="2"/>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83840" behindDoc="1" locked="0" layoutInCell="1" allowOverlap="1">
            <wp:simplePos x="0" y="0"/>
            <wp:positionH relativeFrom="column">
              <wp:posOffset>2830195</wp:posOffset>
            </wp:positionH>
            <wp:positionV relativeFrom="paragraph">
              <wp:posOffset>518160</wp:posOffset>
            </wp:positionV>
            <wp:extent cx="815975" cy="431165"/>
            <wp:effectExtent l="0" t="0" r="952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15975" cy="431165"/>
                    </a:xfrm>
                    <a:prstGeom prst="rect">
                      <a:avLst/>
                    </a:prstGeom>
                    <a:noFill/>
                    <a:ln>
                      <a:noFill/>
                    </a:ln>
                  </pic:spPr>
                </pic:pic>
              </a:graphicData>
            </a:graphic>
          </wp:anchor>
        </w:drawing>
      </w: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28700" cy="220345"/>
            <wp:effectExtent l="0" t="0" r="0"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1028700" cy="22034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bCs/>
          <w:color w:val="000000" w:themeColor="text1"/>
          <w:spacing w:val="-10"/>
          <w:szCs w:val="21"/>
        </w:rPr>
        <w:sym w:font="Wingdings" w:char="00FE"/>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pacing w:val="-10"/>
          <w:szCs w:val="21"/>
        </w:rPr>
        <w:sym w:font="Wingdings" w:char="00FE"/>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sym w:font="Wingdings" w:char="00FE"/>
      </w:r>
      <w:r>
        <w:rPr>
          <w:rFonts w:hint="eastAsia"/>
          <w:b/>
          <w:color w:val="000000" w:themeColor="text1"/>
          <w:szCs w:val="21"/>
        </w:rPr>
        <w:t xml:space="preserve">OHSMS(  </w:t>
      </w:r>
      <w:r>
        <w:rPr>
          <w:rFonts w:hint="eastAsia"/>
          <w:b/>
          <w:color w:val="000000" w:themeColor="text1"/>
          <w:szCs w:val="21"/>
          <w:lang w:val="en-US" w:eastAsia="zh-CN"/>
        </w:rPr>
        <w:t xml:space="preserve">1 </w:t>
      </w:r>
      <w:r>
        <w:rPr>
          <w:rFonts w:hint="eastAsia"/>
          <w:b/>
          <w:color w:val="000000" w:themeColor="text1"/>
          <w:szCs w:val="21"/>
        </w:rPr>
        <w:t>)个一般不符合，(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sym w:font="Wingdings" w:char="00FE"/>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23</w:t>
      </w:r>
      <w:bookmarkStart w:id="7" w:name="_GoBack"/>
      <w:bookmarkEnd w:id="7"/>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TKaiti">
    <w:altName w:val="宋体"/>
    <w:panose1 w:val="00000000000000000000"/>
    <w:charset w:val="86"/>
    <w:family w:val="auto"/>
    <w:pitch w:val="default"/>
    <w:sig w:usb0="00000000" w:usb1="00000000" w:usb2="00000010" w:usb3="00000000" w:csb0="0004009F" w:csb1="00000000"/>
  </w:font>
  <w:font w:name="华文中宋">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FC6F1"/>
    <w:multiLevelType w:val="singleLevel"/>
    <w:tmpl w:val="9BCFC6F1"/>
    <w:lvl w:ilvl="0" w:tentative="0">
      <w:start w:val="13"/>
      <w:numFmt w:val="chineseCounting"/>
      <w:suff w:val="space"/>
      <w:lvlText w:val="%1、"/>
      <w:lvlJc w:val="left"/>
      <w:rPr>
        <w:rFonts w:hint="eastAsia"/>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D5696"/>
    <w:rsid w:val="002015E3"/>
    <w:rsid w:val="00250BBA"/>
    <w:rsid w:val="00271572"/>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84B0B"/>
    <w:rsid w:val="004C1602"/>
    <w:rsid w:val="004D3E71"/>
    <w:rsid w:val="005164BD"/>
    <w:rsid w:val="00545896"/>
    <w:rsid w:val="00584F23"/>
    <w:rsid w:val="00592421"/>
    <w:rsid w:val="005B46F0"/>
    <w:rsid w:val="005B675E"/>
    <w:rsid w:val="005E1CBB"/>
    <w:rsid w:val="005E1EC4"/>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E0B4A"/>
    <w:rsid w:val="009203AC"/>
    <w:rsid w:val="0092740B"/>
    <w:rsid w:val="00932B07"/>
    <w:rsid w:val="009462BE"/>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F3312CC"/>
    <w:rsid w:val="14E11A4F"/>
    <w:rsid w:val="1C440198"/>
    <w:rsid w:val="211B1BB2"/>
    <w:rsid w:val="21611269"/>
    <w:rsid w:val="21A15F24"/>
    <w:rsid w:val="296C1F26"/>
    <w:rsid w:val="2C0A04A2"/>
    <w:rsid w:val="33594BC6"/>
    <w:rsid w:val="3453460E"/>
    <w:rsid w:val="35B520FD"/>
    <w:rsid w:val="3C6210A8"/>
    <w:rsid w:val="3CA0624B"/>
    <w:rsid w:val="448F01B0"/>
    <w:rsid w:val="4B4A3A22"/>
    <w:rsid w:val="504F7389"/>
    <w:rsid w:val="58757E83"/>
    <w:rsid w:val="5CDD1C2D"/>
    <w:rsid w:val="5EE01221"/>
    <w:rsid w:val="68FB3A24"/>
    <w:rsid w:val="6C341473"/>
    <w:rsid w:val="6D034814"/>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40D9B-8829-43AA-84BB-9AD6A3B9618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1403</Words>
  <Characters>7998</Characters>
  <Lines>66</Lines>
  <Paragraphs>18</Paragraphs>
  <TotalTime>2</TotalTime>
  <ScaleCrop>false</ScaleCrop>
  <LinksUpToDate>false</LinksUpToDate>
  <CharactersWithSpaces>9383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2020-11-22T14:29:33Z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